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05" w:rsidRPr="00243159" w:rsidRDefault="007B3805">
      <w:pPr>
        <w:rPr>
          <w:lang w:val="da-DK"/>
        </w:rPr>
      </w:pPr>
      <w:r w:rsidRPr="00243159">
        <w:rPr>
          <w:lang w:val="da-DK"/>
        </w:rPr>
        <w:t xml:space="preserve"> </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29"/>
        <w:gridCol w:w="3260"/>
      </w:tblGrid>
      <w:tr w:rsidR="00317CEE" w:rsidRPr="00243159" w:rsidTr="00231497">
        <w:trPr>
          <w:trHeight w:val="986"/>
        </w:trPr>
        <w:tc>
          <w:tcPr>
            <w:tcW w:w="6629" w:type="dxa"/>
          </w:tcPr>
          <w:p w:rsidR="00317CEE" w:rsidRPr="00243159" w:rsidRDefault="009716DF" w:rsidP="00F65F26">
            <w:pPr>
              <w:rPr>
                <w:rStyle w:val="AdressuUppl"/>
                <w:rFonts w:ascii="Arial" w:hAnsi="Arial" w:cs="Arial"/>
                <w:sz w:val="18"/>
                <w:szCs w:val="18"/>
                <w:lang w:val="da-DK"/>
              </w:rPr>
            </w:pPr>
            <w:sdt>
              <w:sdtPr>
                <w:rPr>
                  <w:rStyle w:val="AdressuUppl"/>
                  <w:rFonts w:ascii="Arial" w:hAnsi="Arial" w:cs="Arial"/>
                  <w:sz w:val="18"/>
                  <w:szCs w:val="18"/>
                  <w:lang w:val="da-DK"/>
                </w:rPr>
                <w:alias w:val="Navn"/>
                <w:tag w:val="ToActivityContact.Name"/>
                <w:id w:val="10000"/>
                <w:placeholder>
                  <w:docPart w:val="77690139B739449CA4AF4FAD9A1043D2"/>
                </w:placeholder>
                <w:dataBinding w:prefixMappings="xmlns:gbs='http://www.software-innovation.no/growBusinessDocument'" w:xpath="/gbs:GrowBusinessDocument/gbs:ToActivityContactJOINEX.Name[@gbs:key='10000']" w:storeItemID="{A71D5EB8-DD50-4B60-B751-C326F0704801}"/>
                <w:text/>
              </w:sdtPr>
              <w:sdtEndPr>
                <w:rPr>
                  <w:rStyle w:val="AdressuUppl"/>
                </w:rPr>
              </w:sdtEndPr>
              <w:sdtContent>
                <w:r w:rsidR="002513C2" w:rsidRPr="00243159">
                  <w:rPr>
                    <w:rStyle w:val="AdressuUppl"/>
                    <w:rFonts w:ascii="Arial" w:hAnsi="Arial" w:cs="Arial"/>
                    <w:sz w:val="18"/>
                    <w:szCs w:val="18"/>
                    <w:lang w:val="da-DK"/>
                  </w:rPr>
                  <w:t xml:space="preserve">  </w:t>
                </w:r>
              </w:sdtContent>
            </w:sdt>
          </w:p>
          <w:p w:rsidR="00317CEE" w:rsidRPr="00243159" w:rsidRDefault="009716DF" w:rsidP="00F65F26">
            <w:pPr>
              <w:rPr>
                <w:rStyle w:val="AdressuUppl"/>
                <w:rFonts w:ascii="Arial" w:hAnsi="Arial" w:cs="Arial"/>
                <w:sz w:val="18"/>
                <w:szCs w:val="18"/>
                <w:lang w:val="da-DK"/>
              </w:rPr>
            </w:pPr>
            <w:sdt>
              <w:sdtPr>
                <w:rPr>
                  <w:rStyle w:val="AdressuUppl"/>
                  <w:rFonts w:ascii="Arial" w:hAnsi="Arial" w:cs="Arial"/>
                  <w:sz w:val="18"/>
                  <w:szCs w:val="18"/>
                  <w:lang w:val="da-DK"/>
                </w:rPr>
                <w:alias w:val="Adresse"/>
                <w:tag w:val="ToActivityContact.Address"/>
                <w:id w:val="10001"/>
                <w:placeholder>
                  <w:docPart w:val="46CAC21E8D4046E1A8F1B052C953C969"/>
                </w:placeholder>
                <w:dataBinding w:prefixMappings="xmlns:gbs='http://www.software-innovation.no/growBusinessDocument'" w:xpath="/gbs:GrowBusinessDocument/gbs:ToActivityContactJOINEX.Address[@gbs:key='10001']" w:storeItemID="{A71D5EB8-DD50-4B60-B751-C326F0704801}"/>
                <w:text w:multiLine="1"/>
              </w:sdtPr>
              <w:sdtEndPr>
                <w:rPr>
                  <w:rStyle w:val="AdressuUppl"/>
                </w:rPr>
              </w:sdtEndPr>
              <w:sdtContent>
                <w:r w:rsidR="002513C2" w:rsidRPr="00243159">
                  <w:rPr>
                    <w:rStyle w:val="AdressuUppl"/>
                    <w:rFonts w:ascii="Arial" w:hAnsi="Arial" w:cs="Arial"/>
                    <w:sz w:val="18"/>
                    <w:szCs w:val="18"/>
                    <w:lang w:val="da-DK"/>
                  </w:rPr>
                  <w:br/>
                  <w:t xml:space="preserve">  </w:t>
                </w:r>
              </w:sdtContent>
            </w:sdt>
          </w:p>
          <w:p w:rsidR="00317CEE" w:rsidRPr="00243159" w:rsidRDefault="009716DF" w:rsidP="00F65F26">
            <w:pPr>
              <w:rPr>
                <w:rStyle w:val="AdressuUppl"/>
                <w:rFonts w:ascii="Arial" w:hAnsi="Arial" w:cs="Arial"/>
                <w:sz w:val="18"/>
                <w:szCs w:val="18"/>
                <w:lang w:val="da-DK"/>
              </w:rPr>
            </w:pPr>
            <w:sdt>
              <w:sdtPr>
                <w:rPr>
                  <w:rStyle w:val="AdressuUppl"/>
                  <w:rFonts w:ascii="Arial" w:hAnsi="Arial" w:cs="Arial"/>
                  <w:sz w:val="18"/>
                  <w:szCs w:val="18"/>
                  <w:lang w:val="da-DK"/>
                </w:rPr>
                <w:alias w:val="Postnummer/sted"/>
                <w:tag w:val="ToActivityContact.Zip"/>
                <w:id w:val="10002"/>
                <w:placeholder>
                  <w:docPart w:val="11D8BE0485C441FE9CC60EDD3D7464FF"/>
                </w:placeholder>
                <w:dataBinding w:prefixMappings="xmlns:gbs='http://www.software-innovation.no/growBusinessDocument'" w:xpath="/gbs:GrowBusinessDocument/gbs:ToActivityContactJOINEX.Zip[@gbs:key='10002']" w:storeItemID="{A71D5EB8-DD50-4B60-B751-C326F0704801}"/>
                <w:text/>
              </w:sdtPr>
              <w:sdtEndPr>
                <w:rPr>
                  <w:rStyle w:val="AdressuUppl"/>
                </w:rPr>
              </w:sdtEndPr>
              <w:sdtContent>
                <w:r w:rsidR="002513C2" w:rsidRPr="00243159">
                  <w:rPr>
                    <w:rStyle w:val="AdressuUppl"/>
                    <w:rFonts w:ascii="Arial" w:hAnsi="Arial" w:cs="Arial"/>
                    <w:sz w:val="18"/>
                    <w:szCs w:val="18"/>
                    <w:lang w:val="da-DK"/>
                  </w:rPr>
                  <w:t xml:space="preserve">  </w:t>
                </w:r>
              </w:sdtContent>
            </w:sdt>
          </w:p>
          <w:sdt>
            <w:sdtPr>
              <w:rPr>
                <w:rStyle w:val="AdressuUppl"/>
                <w:rFonts w:ascii="Arial" w:hAnsi="Arial" w:cs="Arial"/>
                <w:sz w:val="18"/>
                <w:szCs w:val="18"/>
                <w:lang w:val="da-DK"/>
              </w:rPr>
              <w:tag w:val="ToActivityContact.ToAddress.Country.Description"/>
              <w:id w:val="10013"/>
              <w:placeholder>
                <w:docPart w:val="12493FF6D97C46DEA87B18359E7E4C5D"/>
              </w:placeholder>
              <w:dataBinding w:prefixMappings="xmlns:gbs='http://www.software-innovation.no/growBusinessDocument'" w:xpath="/gbs:GrowBusinessDocument/gbs:ToActivityContact.ToAddress.Country.Description[@gbs:key='10013']" w:storeItemID="{A71D5EB8-DD50-4B60-B751-C326F0704801}"/>
              <w:text/>
            </w:sdtPr>
            <w:sdtEndPr>
              <w:rPr>
                <w:rStyle w:val="AdressuUppl"/>
              </w:rPr>
            </w:sdtEndPr>
            <w:sdtContent>
              <w:p w:rsidR="00B51204" w:rsidRPr="00243159" w:rsidRDefault="002513C2" w:rsidP="00F65F26">
                <w:pPr>
                  <w:rPr>
                    <w:rStyle w:val="AdressuUppl"/>
                    <w:rFonts w:ascii="Arial" w:hAnsi="Arial" w:cs="Arial"/>
                    <w:sz w:val="18"/>
                    <w:szCs w:val="18"/>
                    <w:lang w:val="da-DK"/>
                  </w:rPr>
                </w:pPr>
                <w:r w:rsidRPr="00243159">
                  <w:rPr>
                    <w:rStyle w:val="AdressuUppl"/>
                    <w:rFonts w:ascii="Arial" w:hAnsi="Arial" w:cs="Arial"/>
                    <w:sz w:val="18"/>
                    <w:szCs w:val="18"/>
                    <w:lang w:val="da-DK"/>
                  </w:rPr>
                  <w:t xml:space="preserve">  </w:t>
                </w:r>
              </w:p>
            </w:sdtContent>
          </w:sdt>
          <w:p w:rsidR="00317CEE" w:rsidRPr="00243159" w:rsidRDefault="00317CEE" w:rsidP="00F65F26">
            <w:pPr>
              <w:rPr>
                <w:rFonts w:ascii="Arial" w:hAnsi="Arial" w:cs="Arial"/>
                <w:sz w:val="18"/>
                <w:szCs w:val="18"/>
                <w:lang w:val="da-DK"/>
              </w:rPr>
            </w:pPr>
          </w:p>
          <w:p w:rsidR="00317CEE" w:rsidRPr="00243159" w:rsidRDefault="00317CEE" w:rsidP="00BD3DA9">
            <w:pPr>
              <w:rPr>
                <w:rFonts w:ascii="Arial" w:hAnsi="Arial" w:cs="Arial"/>
                <w:sz w:val="18"/>
                <w:szCs w:val="18"/>
                <w:lang w:val="da-DK"/>
              </w:rPr>
            </w:pPr>
          </w:p>
        </w:tc>
        <w:tc>
          <w:tcPr>
            <w:tcW w:w="3260" w:type="dxa"/>
          </w:tcPr>
          <w:p w:rsidR="007D5C40" w:rsidRPr="00243159" w:rsidRDefault="007D5C40" w:rsidP="001D1AEE">
            <w:pPr>
              <w:pStyle w:val="Ingenafstand"/>
              <w:jc w:val="right"/>
              <w:rPr>
                <w:rStyle w:val="TemplateStyle"/>
                <w:rFonts w:ascii="Times New Roman" w:hAnsi="Times New Roman"/>
                <w:sz w:val="18"/>
                <w:szCs w:val="18"/>
                <w:lang w:val="da-DK"/>
              </w:rPr>
            </w:pPr>
          </w:p>
          <w:p w:rsidR="007D5C40" w:rsidRPr="00243159" w:rsidRDefault="007D5C40" w:rsidP="001D1AEE">
            <w:pPr>
              <w:pStyle w:val="Ingenafstand"/>
              <w:jc w:val="right"/>
              <w:rPr>
                <w:rStyle w:val="TemplateStyle"/>
                <w:rFonts w:ascii="Times New Roman" w:hAnsi="Times New Roman"/>
                <w:sz w:val="18"/>
                <w:szCs w:val="18"/>
                <w:lang w:val="da-DK"/>
              </w:rPr>
            </w:pPr>
          </w:p>
          <w:p w:rsidR="007B7192" w:rsidRPr="00243159" w:rsidRDefault="007B7192" w:rsidP="001D1AEE">
            <w:pPr>
              <w:pStyle w:val="Ingenafstand"/>
              <w:jc w:val="right"/>
              <w:rPr>
                <w:rStyle w:val="TemplateStyle"/>
                <w:rFonts w:ascii="Times New Roman" w:hAnsi="Times New Roman"/>
                <w:b/>
                <w:sz w:val="18"/>
                <w:szCs w:val="18"/>
                <w:lang w:val="da-DK"/>
              </w:rPr>
            </w:pPr>
          </w:p>
          <w:p w:rsidR="00317CEE" w:rsidRPr="00243159" w:rsidRDefault="001D1AEE" w:rsidP="001D1AEE">
            <w:pPr>
              <w:pStyle w:val="Ingenafstand"/>
              <w:jc w:val="right"/>
              <w:rPr>
                <w:rStyle w:val="TemplateStyle"/>
                <w:rFonts w:ascii="Times New Roman" w:hAnsi="Times New Roman"/>
                <w:b/>
                <w:sz w:val="18"/>
                <w:szCs w:val="18"/>
                <w:lang w:val="da-DK"/>
              </w:rPr>
            </w:pPr>
            <w:r w:rsidRPr="00243159">
              <w:rPr>
                <w:rStyle w:val="TemplateStyle"/>
                <w:rFonts w:ascii="Times New Roman" w:hAnsi="Times New Roman"/>
                <w:b/>
                <w:sz w:val="18"/>
                <w:szCs w:val="18"/>
                <w:lang w:val="da-DK"/>
              </w:rPr>
              <w:t>Tórshavn</w:t>
            </w:r>
            <w:r w:rsidR="00EC7936" w:rsidRPr="00243159">
              <w:rPr>
                <w:rStyle w:val="TemplateStyle"/>
                <w:rFonts w:ascii="Times New Roman" w:hAnsi="Times New Roman"/>
                <w:b/>
                <w:sz w:val="18"/>
                <w:szCs w:val="18"/>
                <w:lang w:val="da-DK"/>
              </w:rPr>
              <w:t xml:space="preserve"> </w:t>
            </w:r>
            <w:sdt>
              <w:sdtPr>
                <w:rPr>
                  <w:rStyle w:val="TemplateStyle"/>
                  <w:rFonts w:ascii="Times New Roman" w:hAnsi="Times New Roman"/>
                  <w:b/>
                  <w:sz w:val="18"/>
                  <w:szCs w:val="18"/>
                  <w:lang w:val="da-DK"/>
                </w:rPr>
                <w:alias w:val="Dokumentdato"/>
                <w:tag w:val="DocumentDate"/>
                <w:id w:val="10009"/>
                <w:placeholder>
                  <w:docPart w:val="F88EAF9D628840D59B5A5EE9AA34A449"/>
                </w:placeholder>
                <w:dataBinding w:prefixMappings="xmlns:gbs='http://www.software-innovation.no/growBusinessDocument'" w:xpath="/gbs:GrowBusinessDocument/gbs:DocumentDate[@gbs:key='10009']" w:storeItemID="{A71D5EB8-DD50-4B60-B751-C326F0704801}"/>
                <w:date w:fullDate="2018-05-14T00:00:00Z">
                  <w:dateFormat w:val="d. MMMM yyyy"/>
                  <w:lid w:val="fo-FO"/>
                  <w:storeMappedDataAs w:val="dateTime"/>
                  <w:calendar w:val="gregorian"/>
                </w:date>
              </w:sdtPr>
              <w:sdtEndPr>
                <w:rPr>
                  <w:rStyle w:val="Standardskrifttypeiafsnit"/>
                </w:rPr>
              </w:sdtEndPr>
              <w:sdtContent>
                <w:r w:rsidR="009716DF">
                  <w:rPr>
                    <w:rStyle w:val="TemplateStyle"/>
                    <w:rFonts w:ascii="Times New Roman" w:hAnsi="Times New Roman"/>
                    <w:b/>
                    <w:sz w:val="18"/>
                    <w:szCs w:val="18"/>
                    <w:lang w:val="fo-FO"/>
                  </w:rPr>
                  <w:t>14. mai 2018</w:t>
                </w:r>
              </w:sdtContent>
            </w:sdt>
          </w:p>
          <w:p w:rsidR="00317CEE" w:rsidRPr="00243159" w:rsidRDefault="001D1AEE" w:rsidP="001D1AEE">
            <w:pPr>
              <w:pStyle w:val="Ingenafstand"/>
              <w:jc w:val="right"/>
              <w:rPr>
                <w:sz w:val="18"/>
                <w:szCs w:val="18"/>
                <w:lang w:val="da-DK"/>
              </w:rPr>
            </w:pPr>
            <w:r w:rsidRPr="00243159">
              <w:rPr>
                <w:sz w:val="18"/>
                <w:szCs w:val="18"/>
                <w:lang w:val="da-DK"/>
              </w:rPr>
              <w:t>Journalnr</w:t>
            </w:r>
            <w:r w:rsidR="00D31492" w:rsidRPr="00243159">
              <w:rPr>
                <w:sz w:val="18"/>
                <w:szCs w:val="18"/>
                <w:lang w:val="da-DK"/>
              </w:rPr>
              <w:t>.</w:t>
            </w:r>
            <w:r w:rsidR="00317CEE" w:rsidRPr="00243159">
              <w:rPr>
                <w:sz w:val="18"/>
                <w:szCs w:val="18"/>
                <w:lang w:val="da-DK"/>
              </w:rPr>
              <w:t xml:space="preserve">: </w:t>
            </w:r>
            <w:sdt>
              <w:sdtPr>
                <w:rPr>
                  <w:rStyle w:val="TemplateStyle"/>
                  <w:rFonts w:ascii="Times New Roman" w:hAnsi="Times New Roman"/>
                  <w:sz w:val="18"/>
                  <w:szCs w:val="18"/>
                  <w:lang w:val="da-DK"/>
                </w:rPr>
                <w:alias w:val="Dokument nummer"/>
                <w:tag w:val="DocumentNumber"/>
                <w:id w:val="10004"/>
                <w:placeholder>
                  <w:docPart w:val="B225AC233938406A9971EEC654B00C70"/>
                </w:placeholder>
                <w:dataBinding w:prefixMappings="xmlns:gbs='http://www.software-innovation.no/growBusinessDocument'" w:xpath="/gbs:GrowBusinessDocument/gbs:DocumentNumber[@gbs:key='10004']" w:storeItemID="{A71D5EB8-DD50-4B60-B751-C326F0704801}"/>
                <w:text/>
              </w:sdtPr>
              <w:sdtEndPr>
                <w:rPr>
                  <w:rStyle w:val="Standardskrifttypeiafsnit"/>
                </w:rPr>
              </w:sdtEndPr>
              <w:sdtContent>
                <w:r w:rsidR="002513C2" w:rsidRPr="00243159">
                  <w:rPr>
                    <w:rStyle w:val="TemplateStyle"/>
                    <w:rFonts w:ascii="Times New Roman" w:hAnsi="Times New Roman"/>
                    <w:sz w:val="18"/>
                    <w:szCs w:val="18"/>
                    <w:lang w:val="da-DK"/>
                  </w:rPr>
                  <w:t>15/00118-35</w:t>
                </w:r>
              </w:sdtContent>
            </w:sdt>
          </w:p>
          <w:p w:rsidR="00161F28" w:rsidRPr="00243159" w:rsidRDefault="00161F28" w:rsidP="006F4FC4">
            <w:pPr>
              <w:pStyle w:val="Ingenafstand"/>
              <w:jc w:val="right"/>
              <w:rPr>
                <w:sz w:val="18"/>
                <w:szCs w:val="18"/>
                <w:lang w:val="da-DK"/>
              </w:rPr>
            </w:pPr>
          </w:p>
        </w:tc>
      </w:tr>
    </w:tbl>
    <w:p w:rsidR="00356E47" w:rsidRPr="00243159" w:rsidRDefault="009716DF" w:rsidP="007B191B">
      <w:pPr>
        <w:pStyle w:val="Titel"/>
        <w:rPr>
          <w:rFonts w:ascii="Arial" w:hAnsi="Arial" w:cs="Arial"/>
          <w:sz w:val="20"/>
          <w:szCs w:val="20"/>
          <w:lang w:val="da-DK"/>
        </w:rPr>
      </w:pPr>
      <w:sdt>
        <w:sdtPr>
          <w:rPr>
            <w:rFonts w:ascii="Arial" w:hAnsi="Arial" w:cs="Arial"/>
            <w:sz w:val="20"/>
            <w:szCs w:val="20"/>
            <w:lang w:val="da-DK"/>
          </w:rPr>
          <w:tag w:val="Title"/>
          <w:id w:val="10014"/>
          <w:placeholder>
            <w:docPart w:val="12493FF6D97C46DEA87B18359E7E4C5D"/>
          </w:placeholder>
          <w:dataBinding w:prefixMappings="xmlns:gbs='http://www.software-innovation.no/growBusinessDocument'" w:xpath="/gbs:GrowBusinessDocument/gbs:Title[@gbs:key='10014']" w:storeItemID="{A71D5EB8-DD50-4B60-B751-C326F0704801}"/>
          <w:text/>
        </w:sdtPr>
        <w:sdtEndPr/>
        <w:sdtContent>
          <w:r w:rsidR="002513C2" w:rsidRPr="00243159">
            <w:rPr>
              <w:rFonts w:ascii="Arial" w:hAnsi="Arial" w:cs="Arial"/>
              <w:sz w:val="20"/>
              <w:szCs w:val="20"/>
              <w:lang w:val="da-DK"/>
            </w:rPr>
            <w:t>Notat om efterfølgende ændringer i udkast til anmeldelsesbekendtgørelse</w:t>
          </w:r>
        </w:sdtContent>
      </w:sdt>
    </w:p>
    <w:p w:rsidR="00A33E61" w:rsidRPr="00243159" w:rsidRDefault="00A33E61" w:rsidP="00A33E61">
      <w:pPr>
        <w:rPr>
          <w:rFonts w:ascii="Arial" w:hAnsi="Arial" w:cs="Arial"/>
          <w:sz w:val="20"/>
          <w:szCs w:val="20"/>
          <w:lang w:val="da-DK"/>
        </w:rPr>
      </w:pPr>
    </w:p>
    <w:p w:rsidR="002513C2" w:rsidRPr="00243159" w:rsidRDefault="002513C2" w:rsidP="002513C2">
      <w:pPr>
        <w:spacing w:after="200" w:line="276" w:lineRule="auto"/>
        <w:rPr>
          <w:rFonts w:ascii="Arial" w:hAnsi="Arial" w:cs="Arial"/>
          <w:sz w:val="20"/>
          <w:szCs w:val="20"/>
          <w:lang w:val="da-DK"/>
        </w:rPr>
      </w:pPr>
      <w:r w:rsidRPr="00243159">
        <w:rPr>
          <w:rFonts w:ascii="Arial" w:hAnsi="Arial" w:cs="Arial"/>
          <w:sz w:val="20"/>
          <w:szCs w:val="20"/>
          <w:lang w:val="da-DK"/>
        </w:rPr>
        <w:t>I dette notat redegøres der for de efter</w:t>
      </w:r>
      <w:r w:rsidR="00460FBE" w:rsidRPr="00243159">
        <w:rPr>
          <w:rFonts w:ascii="Arial" w:hAnsi="Arial" w:cs="Arial"/>
          <w:sz w:val="20"/>
          <w:szCs w:val="20"/>
          <w:lang w:val="da-DK"/>
        </w:rPr>
        <w:t>følgende ændringer, som er foret</w:t>
      </w:r>
      <w:r w:rsidRPr="00243159">
        <w:rPr>
          <w:rFonts w:ascii="Arial" w:hAnsi="Arial" w:cs="Arial"/>
          <w:sz w:val="20"/>
          <w:szCs w:val="20"/>
          <w:lang w:val="da-DK"/>
        </w:rPr>
        <w:t>aget i udkastet til anmeldelsesbekendtgørelse, som blev sendt i høring den 2. juni 2017.</w:t>
      </w:r>
    </w:p>
    <w:p w:rsidR="002513C2" w:rsidRPr="00243159" w:rsidRDefault="002513C2" w:rsidP="002513C2">
      <w:pPr>
        <w:pStyle w:val="Overskrift1"/>
        <w:rPr>
          <w:lang w:val="da-DK"/>
        </w:rPr>
      </w:pPr>
      <w:r w:rsidRPr="00243159">
        <w:rPr>
          <w:lang w:val="da-DK"/>
        </w:rPr>
        <w:t>Udkast til anmeldelsesbekendtgørelse</w:t>
      </w:r>
    </w:p>
    <w:p w:rsidR="002513C2" w:rsidRPr="00243159" w:rsidRDefault="002513C2" w:rsidP="002513C2">
      <w:pPr>
        <w:spacing w:after="200" w:line="276" w:lineRule="auto"/>
        <w:rPr>
          <w:rFonts w:ascii="Arial" w:hAnsi="Arial" w:cs="Arial"/>
          <w:sz w:val="20"/>
          <w:szCs w:val="20"/>
          <w:lang w:val="da-DK"/>
        </w:rPr>
      </w:pPr>
      <w:r w:rsidRPr="00243159">
        <w:rPr>
          <w:rFonts w:ascii="Arial" w:hAnsi="Arial" w:cs="Arial"/>
          <w:sz w:val="20"/>
          <w:szCs w:val="20"/>
          <w:lang w:val="da-DK"/>
        </w:rPr>
        <w:t>Udkastet til anmeldelsesbekendtgørelse tager udgangspunkt i Finanstilsynets bekendtgørelse nr. 932 af 04/07/2013 om anmeldelse af det tekniske grundlag for livsforsikringsvirksomhed.</w:t>
      </w:r>
    </w:p>
    <w:p w:rsidR="002513C2" w:rsidRPr="00243159" w:rsidRDefault="009D2D99" w:rsidP="002513C2">
      <w:pPr>
        <w:spacing w:after="200" w:line="276" w:lineRule="auto"/>
        <w:rPr>
          <w:rFonts w:ascii="Arial" w:hAnsi="Arial" w:cs="Arial"/>
          <w:sz w:val="20"/>
          <w:szCs w:val="20"/>
          <w:lang w:val="da-DK"/>
        </w:rPr>
      </w:pPr>
      <w:r w:rsidRPr="00243159">
        <w:rPr>
          <w:rFonts w:ascii="Arial" w:hAnsi="Arial" w:cs="Arial"/>
          <w:sz w:val="20"/>
          <w:szCs w:val="20"/>
          <w:lang w:val="da-DK"/>
        </w:rPr>
        <w:t xml:space="preserve">Udkastet </w:t>
      </w:r>
      <w:r w:rsidR="002513C2" w:rsidRPr="00243159">
        <w:rPr>
          <w:rFonts w:ascii="Arial" w:hAnsi="Arial" w:cs="Arial"/>
          <w:sz w:val="20"/>
          <w:szCs w:val="20"/>
          <w:lang w:val="da-DK"/>
        </w:rPr>
        <w:t>blev sendt i høring den 2. juni 2011, med høringsfrist den 11. septem</w:t>
      </w:r>
      <w:bookmarkStart w:id="0" w:name="_GoBack"/>
      <w:bookmarkEnd w:id="0"/>
      <w:r w:rsidR="002513C2" w:rsidRPr="00243159">
        <w:rPr>
          <w:rFonts w:ascii="Arial" w:hAnsi="Arial" w:cs="Arial"/>
          <w:sz w:val="20"/>
          <w:szCs w:val="20"/>
          <w:lang w:val="da-DK"/>
        </w:rPr>
        <w:t>ber 2017.</w:t>
      </w:r>
    </w:p>
    <w:p w:rsidR="002513C2" w:rsidRPr="00243159" w:rsidRDefault="002513C2" w:rsidP="002513C2">
      <w:pPr>
        <w:pStyle w:val="Overskrift1"/>
        <w:rPr>
          <w:lang w:val="da-DK"/>
        </w:rPr>
      </w:pPr>
      <w:r w:rsidRPr="00243159">
        <w:rPr>
          <w:lang w:val="da-DK"/>
        </w:rPr>
        <w:t xml:space="preserve">Efterfølgende ændringer i udkastet til anmeldelsesbekendtgørelse </w:t>
      </w:r>
    </w:p>
    <w:p w:rsidR="002513C2" w:rsidRPr="00243159" w:rsidRDefault="002513C2" w:rsidP="002513C2">
      <w:pPr>
        <w:spacing w:after="200" w:line="276" w:lineRule="auto"/>
        <w:rPr>
          <w:rFonts w:ascii="Arial" w:hAnsi="Arial" w:cs="Arial"/>
          <w:sz w:val="20"/>
          <w:szCs w:val="20"/>
          <w:lang w:val="da-DK"/>
        </w:rPr>
      </w:pPr>
      <w:r w:rsidRPr="00243159">
        <w:rPr>
          <w:rFonts w:ascii="Arial" w:hAnsi="Arial" w:cs="Arial"/>
          <w:sz w:val="20"/>
          <w:szCs w:val="20"/>
          <w:lang w:val="da-DK"/>
        </w:rPr>
        <w:t>Forsikringstilsynet har modtaget skriftlige høringssvar til udkastet fra høringsparterne.</w:t>
      </w:r>
    </w:p>
    <w:p w:rsidR="002513C2" w:rsidRPr="00243159" w:rsidRDefault="002513C2" w:rsidP="002513C2">
      <w:pPr>
        <w:spacing w:after="200" w:line="276" w:lineRule="auto"/>
        <w:rPr>
          <w:rFonts w:ascii="Arial" w:hAnsi="Arial" w:cs="Arial"/>
          <w:sz w:val="20"/>
          <w:szCs w:val="20"/>
          <w:lang w:val="da-DK"/>
        </w:rPr>
      </w:pPr>
      <w:r w:rsidRPr="00243159">
        <w:rPr>
          <w:rFonts w:ascii="Arial" w:hAnsi="Arial" w:cs="Arial"/>
          <w:sz w:val="20"/>
          <w:szCs w:val="20"/>
          <w:lang w:val="da-DK"/>
        </w:rPr>
        <w:t xml:space="preserve">Forsikringstilsynet har sammen med EY gennemgået de modtagne bemærkninger, og har på baggrund heraf foretaget </w:t>
      </w:r>
      <w:r w:rsidR="009D2D99" w:rsidRPr="00243159">
        <w:rPr>
          <w:rFonts w:ascii="Arial" w:hAnsi="Arial" w:cs="Arial"/>
          <w:sz w:val="20"/>
          <w:szCs w:val="20"/>
          <w:lang w:val="da-DK"/>
        </w:rPr>
        <w:t xml:space="preserve">følgende </w:t>
      </w:r>
      <w:r w:rsidRPr="00243159">
        <w:rPr>
          <w:rFonts w:ascii="Arial" w:hAnsi="Arial" w:cs="Arial"/>
          <w:sz w:val="20"/>
          <w:szCs w:val="20"/>
          <w:lang w:val="da-DK"/>
        </w:rPr>
        <w:t>ændringer i udkastet.</w:t>
      </w:r>
    </w:p>
    <w:p w:rsidR="006B4156" w:rsidRDefault="00131E4E" w:rsidP="002513C2">
      <w:pPr>
        <w:pStyle w:val="Listeafsnit"/>
        <w:numPr>
          <w:ilvl w:val="0"/>
          <w:numId w:val="6"/>
        </w:numPr>
        <w:spacing w:after="200" w:line="276" w:lineRule="auto"/>
        <w:rPr>
          <w:rFonts w:ascii="Arial" w:hAnsi="Arial" w:cs="Arial"/>
          <w:sz w:val="20"/>
          <w:szCs w:val="20"/>
          <w:lang w:val="da-DK"/>
        </w:rPr>
      </w:pPr>
      <w:r w:rsidRPr="00243159">
        <w:rPr>
          <w:rFonts w:ascii="Arial" w:hAnsi="Arial" w:cs="Arial"/>
          <w:sz w:val="20"/>
          <w:szCs w:val="20"/>
          <w:lang w:val="da-DK"/>
        </w:rPr>
        <w:t>§ 2, stk. 8</w:t>
      </w:r>
      <w:r w:rsidR="00421DAD" w:rsidRPr="00243159">
        <w:rPr>
          <w:rFonts w:ascii="Arial" w:hAnsi="Arial" w:cs="Arial"/>
          <w:sz w:val="20"/>
          <w:szCs w:val="20"/>
          <w:lang w:val="da-DK"/>
        </w:rPr>
        <w:t>.</w:t>
      </w:r>
      <w:r w:rsidR="002513C2" w:rsidRPr="00243159">
        <w:rPr>
          <w:rFonts w:ascii="Arial" w:hAnsi="Arial" w:cs="Arial"/>
          <w:sz w:val="20"/>
          <w:szCs w:val="20"/>
          <w:lang w:val="da-DK"/>
        </w:rPr>
        <w:t xml:space="preserve"> </w:t>
      </w:r>
    </w:p>
    <w:p w:rsidR="00EC7936" w:rsidRDefault="00421DAD" w:rsidP="006B4156">
      <w:pPr>
        <w:pStyle w:val="Listeafsnit"/>
        <w:spacing w:after="200" w:line="276" w:lineRule="auto"/>
        <w:rPr>
          <w:rFonts w:ascii="Arial" w:hAnsi="Arial" w:cs="Arial"/>
          <w:sz w:val="20"/>
          <w:szCs w:val="20"/>
          <w:lang w:val="da-DK"/>
        </w:rPr>
      </w:pPr>
      <w:r w:rsidRPr="00243159">
        <w:rPr>
          <w:rFonts w:ascii="Arial" w:hAnsi="Arial" w:cs="Arial"/>
          <w:sz w:val="20"/>
          <w:szCs w:val="20"/>
          <w:lang w:val="da-DK"/>
        </w:rPr>
        <w:t>F</w:t>
      </w:r>
      <w:r w:rsidR="008545D2" w:rsidRPr="00243159">
        <w:rPr>
          <w:rFonts w:ascii="Arial" w:hAnsi="Arial" w:cs="Arial"/>
          <w:sz w:val="20"/>
          <w:szCs w:val="20"/>
          <w:lang w:val="da-DK"/>
        </w:rPr>
        <w:t>r</w:t>
      </w:r>
      <w:r w:rsidR="00024731" w:rsidRPr="00243159">
        <w:rPr>
          <w:rFonts w:ascii="Arial" w:hAnsi="Arial" w:cs="Arial"/>
          <w:sz w:val="20"/>
          <w:szCs w:val="20"/>
          <w:lang w:val="da-DK"/>
        </w:rPr>
        <w:t xml:space="preserve">isten for indsendelse af det sammenskrevne tekniske grundlag </w:t>
      </w:r>
      <w:r w:rsidR="002513C2" w:rsidRPr="00243159">
        <w:rPr>
          <w:rFonts w:ascii="Arial" w:hAnsi="Arial" w:cs="Arial"/>
          <w:sz w:val="20"/>
          <w:szCs w:val="20"/>
          <w:lang w:val="da-DK"/>
        </w:rPr>
        <w:t xml:space="preserve">er </w:t>
      </w:r>
      <w:r w:rsidR="009D2D99" w:rsidRPr="00243159">
        <w:rPr>
          <w:rFonts w:ascii="Arial" w:hAnsi="Arial" w:cs="Arial"/>
          <w:sz w:val="20"/>
          <w:szCs w:val="20"/>
          <w:lang w:val="da-DK"/>
        </w:rPr>
        <w:t>konsekvensrettet som følge af at bekendtgørelsens ikrafttræden er udsat</w:t>
      </w:r>
      <w:r w:rsidR="00131E4E" w:rsidRPr="00243159">
        <w:rPr>
          <w:rFonts w:ascii="Arial" w:hAnsi="Arial" w:cs="Arial"/>
          <w:sz w:val="20"/>
          <w:szCs w:val="20"/>
          <w:lang w:val="da-DK"/>
        </w:rPr>
        <w:t xml:space="preserve"> til 1. januar 2019</w:t>
      </w:r>
      <w:r w:rsidR="002513C2" w:rsidRPr="00243159">
        <w:rPr>
          <w:rFonts w:ascii="Arial" w:hAnsi="Arial" w:cs="Arial"/>
          <w:sz w:val="20"/>
          <w:szCs w:val="20"/>
          <w:lang w:val="da-DK"/>
        </w:rPr>
        <w:t>, jf. § 11.</w:t>
      </w:r>
    </w:p>
    <w:p w:rsidR="006B4156" w:rsidRDefault="002F4BED" w:rsidP="002513C2">
      <w:pPr>
        <w:pStyle w:val="Listeafsnit"/>
        <w:numPr>
          <w:ilvl w:val="0"/>
          <w:numId w:val="6"/>
        </w:numPr>
        <w:spacing w:after="200" w:line="276" w:lineRule="auto"/>
        <w:rPr>
          <w:rFonts w:ascii="Arial" w:hAnsi="Arial" w:cs="Arial"/>
          <w:sz w:val="20"/>
          <w:szCs w:val="20"/>
          <w:lang w:val="da-DK"/>
        </w:rPr>
      </w:pPr>
      <w:r w:rsidRPr="00243159">
        <w:rPr>
          <w:rFonts w:ascii="Arial" w:hAnsi="Arial" w:cs="Arial"/>
          <w:sz w:val="20"/>
          <w:szCs w:val="20"/>
          <w:lang w:val="da-DK"/>
        </w:rPr>
        <w:t>§ 3, stk. 6, nr. 1</w:t>
      </w:r>
      <w:r w:rsidR="00024731" w:rsidRPr="00243159">
        <w:rPr>
          <w:rFonts w:ascii="Arial" w:hAnsi="Arial" w:cs="Arial"/>
          <w:sz w:val="20"/>
          <w:szCs w:val="20"/>
          <w:lang w:val="da-DK"/>
        </w:rPr>
        <w:t xml:space="preserve">. </w:t>
      </w:r>
    </w:p>
    <w:p w:rsidR="00912202" w:rsidRPr="00243159" w:rsidRDefault="00CA61CA" w:rsidP="006B4156">
      <w:pPr>
        <w:pStyle w:val="Listeafsnit"/>
        <w:spacing w:after="200" w:line="276" w:lineRule="auto"/>
        <w:rPr>
          <w:rFonts w:ascii="Arial" w:hAnsi="Arial" w:cs="Arial"/>
          <w:sz w:val="20"/>
          <w:szCs w:val="20"/>
          <w:lang w:val="da-DK"/>
        </w:rPr>
      </w:pPr>
      <w:r w:rsidRPr="00243159">
        <w:rPr>
          <w:rFonts w:ascii="Arial" w:hAnsi="Arial" w:cs="Arial"/>
          <w:sz w:val="20"/>
          <w:szCs w:val="20"/>
          <w:lang w:val="da-DK"/>
        </w:rPr>
        <w:t>V</w:t>
      </w:r>
      <w:r w:rsidR="00024731" w:rsidRPr="00243159">
        <w:rPr>
          <w:rFonts w:ascii="Arial" w:hAnsi="Arial" w:cs="Arial"/>
          <w:sz w:val="20"/>
          <w:szCs w:val="20"/>
          <w:lang w:val="da-DK"/>
        </w:rPr>
        <w:t xml:space="preserve">ed anmeldelse af grundlaget for beregning af livsforsikringshensættelser, jf. § 14, stk. 1, nr. 3 i </w:t>
      </w:r>
      <w:r w:rsidR="0054446A">
        <w:rPr>
          <w:rFonts w:ascii="Arial" w:hAnsi="Arial" w:cs="Arial"/>
          <w:sz w:val="20"/>
          <w:szCs w:val="20"/>
          <w:lang w:val="da-DK"/>
        </w:rPr>
        <w:t>”løgtingslóg um tryggingarvirksemi”</w:t>
      </w:r>
      <w:r w:rsidR="00024731" w:rsidRPr="00243159">
        <w:rPr>
          <w:rFonts w:ascii="Arial" w:hAnsi="Arial" w:cs="Arial"/>
          <w:sz w:val="20"/>
          <w:szCs w:val="20"/>
          <w:lang w:val="da-DK"/>
        </w:rPr>
        <w:t xml:space="preserve">, skal livsforsikringsselskabet redegøre for, at der ved beregningen anvendes: </w:t>
      </w:r>
    </w:p>
    <w:p w:rsidR="00912202" w:rsidRPr="00243159" w:rsidRDefault="00024731" w:rsidP="00912202">
      <w:pPr>
        <w:pStyle w:val="Listeafsnit"/>
        <w:spacing w:after="200" w:line="276" w:lineRule="auto"/>
        <w:ind w:left="1416"/>
        <w:rPr>
          <w:rFonts w:ascii="Arial" w:hAnsi="Arial" w:cs="Arial"/>
          <w:sz w:val="20"/>
          <w:szCs w:val="20"/>
          <w:lang w:val="da-DK"/>
        </w:rPr>
      </w:pPr>
      <w:r w:rsidRPr="00243159">
        <w:rPr>
          <w:rFonts w:ascii="Arial" w:hAnsi="Arial" w:cs="Arial"/>
          <w:i/>
          <w:sz w:val="20"/>
          <w:szCs w:val="20"/>
          <w:lang w:val="da-DK"/>
        </w:rPr>
        <w:t xml:space="preserve">”1) det bedst mulige skøn over de involverede forsikringsrisici, herunder dødelighed (observeret nuværende dødelighed og forventning til fremtidig levetidsforbedring), og </w:t>
      </w:r>
      <w:r w:rsidR="00912202" w:rsidRPr="00243159">
        <w:rPr>
          <w:rFonts w:ascii="Arial" w:hAnsi="Arial" w:cs="Arial"/>
          <w:i/>
          <w:sz w:val="20"/>
          <w:szCs w:val="20"/>
          <w:lang w:val="da-DK"/>
        </w:rPr>
        <w:t>invaliditetshyppighed</w:t>
      </w:r>
      <w:r w:rsidRPr="00243159">
        <w:rPr>
          <w:rFonts w:ascii="Arial" w:hAnsi="Arial" w:cs="Arial"/>
          <w:i/>
          <w:sz w:val="20"/>
          <w:szCs w:val="20"/>
          <w:lang w:val="da-DK"/>
        </w:rPr>
        <w:t xml:space="preserve"> m.v.</w:t>
      </w:r>
      <w:r w:rsidR="00CA61CA" w:rsidRPr="00243159">
        <w:rPr>
          <w:rFonts w:ascii="Arial" w:hAnsi="Arial" w:cs="Arial"/>
          <w:i/>
          <w:sz w:val="20"/>
          <w:szCs w:val="20"/>
          <w:lang w:val="da-DK"/>
        </w:rPr>
        <w:t>”</w:t>
      </w:r>
      <w:r w:rsidR="00CA61CA" w:rsidRPr="00243159">
        <w:rPr>
          <w:rFonts w:ascii="Arial" w:hAnsi="Arial" w:cs="Arial"/>
          <w:sz w:val="20"/>
          <w:szCs w:val="20"/>
          <w:lang w:val="da-DK"/>
        </w:rPr>
        <w:t xml:space="preserve"> </w:t>
      </w:r>
    </w:p>
    <w:p w:rsidR="00131E4E" w:rsidRPr="00243159" w:rsidRDefault="00CA61CA" w:rsidP="00912202">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Idet bedste skøn over dødeligheden bliver fastsat i udkastet til den nye </w:t>
      </w:r>
      <w:r w:rsidR="00912202" w:rsidRPr="00243159">
        <w:rPr>
          <w:rFonts w:ascii="Arial" w:hAnsi="Arial" w:cs="Arial"/>
          <w:sz w:val="20"/>
          <w:szCs w:val="20"/>
          <w:lang w:val="da-DK"/>
        </w:rPr>
        <w:t>r</w:t>
      </w:r>
      <w:r w:rsidRPr="00243159">
        <w:rPr>
          <w:rFonts w:ascii="Arial" w:hAnsi="Arial" w:cs="Arial"/>
          <w:sz w:val="20"/>
          <w:szCs w:val="20"/>
          <w:lang w:val="da-DK"/>
        </w:rPr>
        <w:t>egnskabs</w:t>
      </w:r>
      <w:r w:rsidR="00912202" w:rsidRPr="00243159">
        <w:rPr>
          <w:rFonts w:ascii="Arial" w:hAnsi="Arial" w:cs="Arial"/>
          <w:sz w:val="20"/>
          <w:szCs w:val="20"/>
          <w:lang w:val="da-DK"/>
        </w:rPr>
        <w:t>-</w:t>
      </w:r>
      <w:r w:rsidRPr="00243159">
        <w:rPr>
          <w:rFonts w:ascii="Arial" w:hAnsi="Arial" w:cs="Arial"/>
          <w:sz w:val="20"/>
          <w:szCs w:val="20"/>
          <w:lang w:val="da-DK"/>
        </w:rPr>
        <w:t xml:space="preserve">bekendtgørelse § 65 b </w:t>
      </w:r>
      <w:r w:rsidR="00912202" w:rsidRPr="00243159">
        <w:rPr>
          <w:rFonts w:ascii="Arial" w:hAnsi="Arial" w:cs="Arial"/>
          <w:sz w:val="20"/>
          <w:szCs w:val="20"/>
          <w:lang w:val="da-DK"/>
        </w:rPr>
        <w:t xml:space="preserve">behøver livsforsikringsselskaberne ikke at redegøre for bedste skøn over dødeligheden, hvorfor følgende formulering </w:t>
      </w:r>
      <w:r w:rsidR="008545D2" w:rsidRPr="00243159">
        <w:rPr>
          <w:rFonts w:ascii="Arial" w:hAnsi="Arial" w:cs="Arial"/>
          <w:sz w:val="20"/>
          <w:szCs w:val="20"/>
          <w:lang w:val="da-DK"/>
        </w:rPr>
        <w:t xml:space="preserve">i nr. 1) </w:t>
      </w:r>
      <w:r w:rsidR="00912202" w:rsidRPr="00243159">
        <w:rPr>
          <w:rFonts w:ascii="Arial" w:hAnsi="Arial" w:cs="Arial"/>
          <w:sz w:val="20"/>
          <w:szCs w:val="20"/>
          <w:lang w:val="da-DK"/>
        </w:rPr>
        <w:t>udgår:</w:t>
      </w:r>
    </w:p>
    <w:p w:rsidR="00912202" w:rsidRDefault="00912202" w:rsidP="00912202">
      <w:pPr>
        <w:pStyle w:val="Listeafsnit"/>
        <w:spacing w:after="200" w:line="276" w:lineRule="auto"/>
        <w:ind w:left="1416"/>
        <w:rPr>
          <w:rFonts w:ascii="Arial" w:hAnsi="Arial" w:cs="Arial"/>
          <w:i/>
          <w:sz w:val="20"/>
          <w:szCs w:val="20"/>
          <w:lang w:val="da-DK"/>
        </w:rPr>
      </w:pPr>
      <w:r w:rsidRPr="00243159">
        <w:rPr>
          <w:rFonts w:ascii="Arial" w:hAnsi="Arial" w:cs="Arial"/>
          <w:sz w:val="20"/>
          <w:szCs w:val="20"/>
          <w:lang w:val="da-DK"/>
        </w:rPr>
        <w:t>”</w:t>
      </w:r>
      <w:r w:rsidRPr="00243159">
        <w:rPr>
          <w:rFonts w:ascii="Arial" w:hAnsi="Arial" w:cs="Arial"/>
          <w:i/>
          <w:sz w:val="20"/>
          <w:szCs w:val="20"/>
          <w:lang w:val="da-DK"/>
        </w:rPr>
        <w:t>dødelighed (observeret nuværende dødelighed og forventning til fremtidig levetidsforbedring), og”</w:t>
      </w:r>
    </w:p>
    <w:p w:rsidR="00552E8A" w:rsidRDefault="00552E8A" w:rsidP="00552E8A">
      <w:pPr>
        <w:pStyle w:val="Listeafsnit"/>
        <w:spacing w:after="200" w:line="276" w:lineRule="auto"/>
        <w:rPr>
          <w:rFonts w:ascii="Arial" w:hAnsi="Arial" w:cs="Arial"/>
          <w:sz w:val="20"/>
          <w:szCs w:val="20"/>
          <w:lang w:val="da-DK"/>
        </w:rPr>
      </w:pPr>
      <w:r>
        <w:rPr>
          <w:rFonts w:ascii="Arial" w:hAnsi="Arial" w:cs="Arial"/>
          <w:sz w:val="20"/>
          <w:szCs w:val="20"/>
          <w:lang w:val="da-DK"/>
        </w:rPr>
        <w:t>hvorefter ordlyden af bestemmelsen bliver:</w:t>
      </w:r>
    </w:p>
    <w:p w:rsidR="00552E8A" w:rsidRDefault="00552E8A" w:rsidP="00552E8A">
      <w:pPr>
        <w:pStyle w:val="Listeafsnit"/>
        <w:spacing w:after="200" w:line="276" w:lineRule="auto"/>
        <w:rPr>
          <w:rFonts w:ascii="Arial" w:hAnsi="Arial" w:cs="Arial"/>
          <w:sz w:val="20"/>
          <w:szCs w:val="20"/>
          <w:lang w:val="da-DK"/>
        </w:rPr>
      </w:pPr>
      <w:r>
        <w:rPr>
          <w:rFonts w:ascii="Arial" w:hAnsi="Arial" w:cs="Arial"/>
          <w:sz w:val="20"/>
          <w:szCs w:val="20"/>
          <w:lang w:val="da-DK"/>
        </w:rPr>
        <w:t xml:space="preserve">Ved anmeldelse af grundlaget for beregning af livsforsikringshensættelser, jf. § 14, stk. 1, nr. 3 i </w:t>
      </w:r>
      <w:r w:rsidR="0054446A">
        <w:rPr>
          <w:rFonts w:ascii="Arial" w:hAnsi="Arial" w:cs="Arial"/>
          <w:sz w:val="20"/>
          <w:szCs w:val="20"/>
          <w:lang w:val="da-DK"/>
        </w:rPr>
        <w:t>”løgtingslóg um tryggingarvirksemi”</w:t>
      </w:r>
      <w:r>
        <w:rPr>
          <w:rFonts w:ascii="Arial" w:hAnsi="Arial" w:cs="Arial"/>
          <w:sz w:val="20"/>
          <w:szCs w:val="20"/>
          <w:lang w:val="da-DK"/>
        </w:rPr>
        <w:t xml:space="preserve">, skal livsforsikringsselskabet redegøre for, at der ved beregningen anvendes: </w:t>
      </w:r>
    </w:p>
    <w:p w:rsidR="00552E8A" w:rsidRDefault="00552E8A" w:rsidP="00552E8A">
      <w:pPr>
        <w:pStyle w:val="Listeafsnit"/>
        <w:spacing w:after="200" w:line="276" w:lineRule="auto"/>
        <w:ind w:left="1416"/>
        <w:rPr>
          <w:rFonts w:ascii="Arial" w:hAnsi="Arial" w:cs="Arial"/>
          <w:sz w:val="20"/>
          <w:szCs w:val="20"/>
          <w:lang w:val="da-DK"/>
        </w:rPr>
      </w:pPr>
      <w:r>
        <w:rPr>
          <w:rFonts w:ascii="Arial" w:hAnsi="Arial" w:cs="Arial"/>
          <w:i/>
          <w:sz w:val="20"/>
          <w:szCs w:val="20"/>
          <w:lang w:val="da-DK"/>
        </w:rPr>
        <w:t>”1) det bedst mulige skøn over de involverede forsikringsrisici, herunder invaliditetshyppighed m.v.”</w:t>
      </w:r>
      <w:r>
        <w:rPr>
          <w:rFonts w:ascii="Arial" w:hAnsi="Arial" w:cs="Arial"/>
          <w:sz w:val="20"/>
          <w:szCs w:val="20"/>
          <w:lang w:val="da-DK"/>
        </w:rPr>
        <w:t xml:space="preserve"> </w:t>
      </w:r>
    </w:p>
    <w:p w:rsidR="006B4156" w:rsidRDefault="009D2D99" w:rsidP="00037380">
      <w:pPr>
        <w:pStyle w:val="Listeafsnit"/>
        <w:numPr>
          <w:ilvl w:val="0"/>
          <w:numId w:val="6"/>
        </w:numPr>
        <w:spacing w:after="200" w:line="276" w:lineRule="auto"/>
        <w:rPr>
          <w:rFonts w:ascii="Arial" w:hAnsi="Arial" w:cs="Arial"/>
          <w:sz w:val="20"/>
          <w:szCs w:val="20"/>
          <w:lang w:val="da-DK"/>
        </w:rPr>
      </w:pPr>
      <w:r w:rsidRPr="00243159">
        <w:rPr>
          <w:rFonts w:ascii="Arial" w:hAnsi="Arial" w:cs="Arial"/>
          <w:sz w:val="20"/>
          <w:szCs w:val="20"/>
          <w:lang w:val="da-DK"/>
        </w:rPr>
        <w:t xml:space="preserve">§ 11. </w:t>
      </w:r>
    </w:p>
    <w:p w:rsidR="009D2D99" w:rsidRPr="00243159" w:rsidRDefault="009D2D99" w:rsidP="006B4156">
      <w:pPr>
        <w:pStyle w:val="Listeafsnit"/>
        <w:spacing w:after="200" w:line="276" w:lineRule="auto"/>
        <w:rPr>
          <w:rFonts w:ascii="Arial" w:hAnsi="Arial" w:cs="Arial"/>
          <w:sz w:val="20"/>
          <w:szCs w:val="20"/>
          <w:lang w:val="da-DK"/>
        </w:rPr>
      </w:pPr>
      <w:r w:rsidRPr="00243159">
        <w:rPr>
          <w:rFonts w:ascii="Arial" w:hAnsi="Arial" w:cs="Arial"/>
          <w:sz w:val="20"/>
          <w:szCs w:val="20"/>
          <w:lang w:val="da-DK"/>
        </w:rPr>
        <w:t>Bekendtgørelsens ikrafttræden er udsat til den 1</w:t>
      </w:r>
      <w:r w:rsidR="004B5109" w:rsidRPr="00243159">
        <w:rPr>
          <w:rFonts w:ascii="Arial" w:hAnsi="Arial" w:cs="Arial"/>
          <w:sz w:val="20"/>
          <w:szCs w:val="20"/>
          <w:lang w:val="da-DK"/>
        </w:rPr>
        <w:t xml:space="preserve">. januar 2019 for at undgå eventuelle </w:t>
      </w:r>
      <w:r w:rsidRPr="00243159">
        <w:rPr>
          <w:rFonts w:ascii="Arial" w:hAnsi="Arial" w:cs="Arial"/>
          <w:sz w:val="20"/>
          <w:szCs w:val="20"/>
          <w:lang w:val="da-DK"/>
        </w:rPr>
        <w:t xml:space="preserve">samspilsproblemer, som måtte opstå ved, at </w:t>
      </w:r>
      <w:r w:rsidR="006B2F8B" w:rsidRPr="00243159">
        <w:rPr>
          <w:rFonts w:ascii="Arial" w:hAnsi="Arial" w:cs="Arial"/>
          <w:sz w:val="20"/>
          <w:szCs w:val="20"/>
          <w:lang w:val="da-DK"/>
        </w:rPr>
        <w:t xml:space="preserve">den nye </w:t>
      </w:r>
      <w:r w:rsidRPr="00243159">
        <w:rPr>
          <w:rFonts w:ascii="Arial" w:hAnsi="Arial" w:cs="Arial"/>
          <w:sz w:val="20"/>
          <w:szCs w:val="20"/>
          <w:lang w:val="da-DK"/>
        </w:rPr>
        <w:t>regnsk</w:t>
      </w:r>
      <w:r w:rsidR="004B5109" w:rsidRPr="00243159">
        <w:rPr>
          <w:rFonts w:ascii="Arial" w:hAnsi="Arial" w:cs="Arial"/>
          <w:sz w:val="20"/>
          <w:szCs w:val="20"/>
          <w:lang w:val="da-DK"/>
        </w:rPr>
        <w:t>a</w:t>
      </w:r>
      <w:r w:rsidRPr="00243159">
        <w:rPr>
          <w:rFonts w:ascii="Arial" w:hAnsi="Arial" w:cs="Arial"/>
          <w:sz w:val="20"/>
          <w:szCs w:val="20"/>
          <w:lang w:val="da-DK"/>
        </w:rPr>
        <w:t>bs</w:t>
      </w:r>
      <w:r w:rsidR="006B2F8B" w:rsidRPr="00243159">
        <w:rPr>
          <w:rFonts w:ascii="Arial" w:hAnsi="Arial" w:cs="Arial"/>
          <w:sz w:val="20"/>
          <w:szCs w:val="20"/>
          <w:lang w:val="da-DK"/>
        </w:rPr>
        <w:t>bekendtgørelse</w:t>
      </w:r>
      <w:r w:rsidRPr="00243159">
        <w:rPr>
          <w:rFonts w:ascii="Arial" w:hAnsi="Arial" w:cs="Arial"/>
          <w:sz w:val="20"/>
          <w:szCs w:val="20"/>
          <w:lang w:val="da-DK"/>
        </w:rPr>
        <w:t xml:space="preserve"> </w:t>
      </w:r>
      <w:r w:rsidR="004B5109" w:rsidRPr="00243159">
        <w:rPr>
          <w:rFonts w:ascii="Arial" w:hAnsi="Arial" w:cs="Arial"/>
          <w:sz w:val="20"/>
          <w:szCs w:val="20"/>
          <w:lang w:val="da-DK"/>
        </w:rPr>
        <w:t xml:space="preserve">forventes </w:t>
      </w:r>
      <w:r w:rsidR="00B45109">
        <w:rPr>
          <w:rFonts w:ascii="Arial" w:hAnsi="Arial" w:cs="Arial"/>
          <w:sz w:val="20"/>
          <w:szCs w:val="20"/>
          <w:lang w:val="da-DK"/>
        </w:rPr>
        <w:t xml:space="preserve">først </w:t>
      </w:r>
      <w:r w:rsidR="004B5109" w:rsidRPr="00243159">
        <w:rPr>
          <w:rFonts w:ascii="Arial" w:hAnsi="Arial" w:cs="Arial"/>
          <w:sz w:val="20"/>
          <w:szCs w:val="20"/>
          <w:lang w:val="da-DK"/>
        </w:rPr>
        <w:t xml:space="preserve">at træde i kraft den 1. januar 2019. </w:t>
      </w:r>
    </w:p>
    <w:p w:rsidR="009D2D99" w:rsidRPr="00243159" w:rsidRDefault="008545D2" w:rsidP="009D2D99">
      <w:pPr>
        <w:pStyle w:val="Overskrift1"/>
        <w:rPr>
          <w:lang w:val="da-DK"/>
        </w:rPr>
      </w:pPr>
      <w:r w:rsidRPr="00243159">
        <w:rPr>
          <w:lang w:val="da-DK"/>
        </w:rPr>
        <w:lastRenderedPageBreak/>
        <w:t>Forsikringstilsynets bemærkninger til høringssvarene</w:t>
      </w:r>
    </w:p>
    <w:p w:rsidR="009D2D99" w:rsidRPr="00243159" w:rsidRDefault="001B7C58" w:rsidP="009D2D99">
      <w:pPr>
        <w:spacing w:after="200" w:line="276" w:lineRule="auto"/>
        <w:rPr>
          <w:rFonts w:ascii="Arial" w:hAnsi="Arial" w:cs="Arial"/>
          <w:sz w:val="20"/>
          <w:szCs w:val="20"/>
          <w:lang w:val="da-DK"/>
        </w:rPr>
      </w:pPr>
      <w:r w:rsidRPr="00243159">
        <w:rPr>
          <w:rFonts w:ascii="Arial" w:hAnsi="Arial" w:cs="Arial"/>
          <w:sz w:val="20"/>
          <w:szCs w:val="20"/>
          <w:lang w:val="da-DK"/>
        </w:rPr>
        <w:t xml:space="preserve">De modtagne høringssvar indeholder flere kommentarer og spørgsmål, som ikke har givet anledning til ændring af udkastet til bekendtgørelse. Forsikringstilsynet </w:t>
      </w:r>
      <w:r w:rsidR="00243159">
        <w:rPr>
          <w:rFonts w:ascii="Arial" w:hAnsi="Arial" w:cs="Arial"/>
          <w:sz w:val="20"/>
          <w:szCs w:val="20"/>
          <w:lang w:val="da-DK"/>
        </w:rPr>
        <w:t xml:space="preserve">har dog bemærkninger til </w:t>
      </w:r>
      <w:r w:rsidR="00B94511">
        <w:rPr>
          <w:rFonts w:ascii="Arial" w:hAnsi="Arial" w:cs="Arial"/>
          <w:sz w:val="20"/>
          <w:szCs w:val="20"/>
          <w:lang w:val="da-DK"/>
        </w:rPr>
        <w:t xml:space="preserve">følgende </w:t>
      </w:r>
      <w:r w:rsidRPr="00243159">
        <w:rPr>
          <w:rFonts w:ascii="Arial" w:hAnsi="Arial" w:cs="Arial"/>
          <w:sz w:val="20"/>
          <w:szCs w:val="20"/>
          <w:lang w:val="da-DK"/>
        </w:rPr>
        <w:t>udvalgte kommentarer og spørgsmål:</w:t>
      </w:r>
    </w:p>
    <w:p w:rsidR="004125CB" w:rsidRPr="00B94511" w:rsidRDefault="00EA2E2D" w:rsidP="00AE0306">
      <w:pPr>
        <w:pStyle w:val="Listeafsnit"/>
        <w:numPr>
          <w:ilvl w:val="0"/>
          <w:numId w:val="7"/>
        </w:numPr>
        <w:spacing w:after="200" w:line="276" w:lineRule="auto"/>
        <w:rPr>
          <w:rFonts w:ascii="Arial" w:hAnsi="Arial" w:cs="Arial"/>
          <w:sz w:val="20"/>
          <w:szCs w:val="20"/>
          <w:lang w:val="da-DK"/>
        </w:rPr>
      </w:pPr>
      <w:r w:rsidRPr="00B94511">
        <w:rPr>
          <w:rFonts w:ascii="Arial" w:hAnsi="Arial" w:cs="Arial"/>
          <w:sz w:val="20"/>
          <w:szCs w:val="20"/>
          <w:lang w:val="da-DK"/>
        </w:rPr>
        <w:t xml:space="preserve">§ 2, stk. 8. </w:t>
      </w:r>
    </w:p>
    <w:p w:rsidR="00EA2E2D" w:rsidRPr="00243159" w:rsidRDefault="00421DAD" w:rsidP="00B25405">
      <w:pPr>
        <w:pStyle w:val="Listeafsnit"/>
        <w:numPr>
          <w:ilvl w:val="1"/>
          <w:numId w:val="7"/>
        </w:numPr>
        <w:spacing w:after="200" w:line="276" w:lineRule="auto"/>
        <w:rPr>
          <w:rFonts w:ascii="Arial" w:hAnsi="Arial" w:cs="Arial"/>
          <w:i/>
          <w:sz w:val="20"/>
          <w:szCs w:val="20"/>
          <w:lang w:val="da-DK"/>
        </w:rPr>
      </w:pPr>
      <w:r w:rsidRPr="00243159">
        <w:rPr>
          <w:rFonts w:ascii="Arial" w:hAnsi="Arial" w:cs="Arial"/>
          <w:i/>
          <w:sz w:val="20"/>
          <w:szCs w:val="20"/>
          <w:lang w:val="da-DK"/>
        </w:rPr>
        <w:t>Kravet om s</w:t>
      </w:r>
      <w:r w:rsidR="00EA2E2D" w:rsidRPr="00243159">
        <w:rPr>
          <w:rFonts w:ascii="Arial" w:hAnsi="Arial" w:cs="Arial"/>
          <w:i/>
          <w:sz w:val="20"/>
          <w:szCs w:val="20"/>
          <w:lang w:val="da-DK"/>
        </w:rPr>
        <w:t>ammenskrivning af det tekniske grundlag</w:t>
      </w:r>
      <w:r w:rsidRPr="00243159">
        <w:rPr>
          <w:rFonts w:ascii="Arial" w:hAnsi="Arial" w:cs="Arial"/>
          <w:i/>
          <w:sz w:val="20"/>
          <w:szCs w:val="20"/>
          <w:lang w:val="da-DK"/>
        </w:rPr>
        <w:t xml:space="preserve"> m.v. </w:t>
      </w:r>
      <w:r w:rsidR="00243159">
        <w:rPr>
          <w:rFonts w:ascii="Arial" w:hAnsi="Arial" w:cs="Arial"/>
          <w:i/>
          <w:sz w:val="20"/>
          <w:szCs w:val="20"/>
          <w:lang w:val="da-DK"/>
        </w:rPr>
        <w:t>er</w:t>
      </w:r>
      <w:r w:rsidR="00BC2799" w:rsidRPr="00243159">
        <w:rPr>
          <w:rFonts w:ascii="Arial" w:hAnsi="Arial" w:cs="Arial"/>
          <w:i/>
          <w:sz w:val="20"/>
          <w:szCs w:val="20"/>
          <w:lang w:val="da-DK"/>
        </w:rPr>
        <w:t xml:space="preserve"> </w:t>
      </w:r>
      <w:r w:rsidRPr="00243159">
        <w:rPr>
          <w:rFonts w:ascii="Arial" w:hAnsi="Arial" w:cs="Arial"/>
          <w:i/>
          <w:sz w:val="20"/>
          <w:szCs w:val="20"/>
          <w:lang w:val="da-DK"/>
        </w:rPr>
        <w:t xml:space="preserve">arbejdskrævende og </w:t>
      </w:r>
      <w:r w:rsidR="00243159">
        <w:rPr>
          <w:rFonts w:ascii="Arial" w:hAnsi="Arial" w:cs="Arial"/>
          <w:i/>
          <w:sz w:val="20"/>
          <w:szCs w:val="20"/>
          <w:lang w:val="da-DK"/>
        </w:rPr>
        <w:t xml:space="preserve">vil </w:t>
      </w:r>
      <w:r w:rsidR="00BC2799" w:rsidRPr="00243159">
        <w:rPr>
          <w:rFonts w:ascii="Arial" w:hAnsi="Arial" w:cs="Arial"/>
          <w:i/>
          <w:sz w:val="20"/>
          <w:szCs w:val="20"/>
          <w:lang w:val="da-DK"/>
        </w:rPr>
        <w:t>forhøje</w:t>
      </w:r>
      <w:r w:rsidRPr="00243159">
        <w:rPr>
          <w:rFonts w:ascii="Arial" w:hAnsi="Arial" w:cs="Arial"/>
          <w:i/>
          <w:sz w:val="20"/>
          <w:szCs w:val="20"/>
          <w:lang w:val="da-DK"/>
        </w:rPr>
        <w:t xml:space="preserve"> virksomhedernes omkostninger.</w:t>
      </w:r>
    </w:p>
    <w:p w:rsidR="00EA2E2D" w:rsidRDefault="001B7C58" w:rsidP="00EA2E2D">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Som </w:t>
      </w:r>
      <w:r w:rsidR="00243159">
        <w:rPr>
          <w:rFonts w:ascii="Arial" w:hAnsi="Arial" w:cs="Arial"/>
          <w:sz w:val="20"/>
          <w:szCs w:val="20"/>
          <w:lang w:val="da-DK"/>
        </w:rPr>
        <w:t>beskrevet</w:t>
      </w:r>
      <w:r w:rsidRPr="00243159">
        <w:rPr>
          <w:rFonts w:ascii="Arial" w:hAnsi="Arial" w:cs="Arial"/>
          <w:sz w:val="20"/>
          <w:szCs w:val="20"/>
          <w:lang w:val="da-DK"/>
        </w:rPr>
        <w:t xml:space="preserve"> i høringsbrevet er f</w:t>
      </w:r>
      <w:r w:rsidR="00421DAD" w:rsidRPr="00243159">
        <w:rPr>
          <w:rFonts w:ascii="Arial" w:hAnsi="Arial" w:cs="Arial"/>
          <w:sz w:val="20"/>
          <w:szCs w:val="20"/>
          <w:lang w:val="da-DK"/>
        </w:rPr>
        <w:t xml:space="preserve">ormålet </w:t>
      </w:r>
      <w:r w:rsidR="00AA4BF7" w:rsidRPr="00243159">
        <w:rPr>
          <w:rFonts w:ascii="Arial" w:hAnsi="Arial" w:cs="Arial"/>
          <w:sz w:val="20"/>
          <w:szCs w:val="20"/>
          <w:lang w:val="da-DK"/>
        </w:rPr>
        <w:t xml:space="preserve">med </w:t>
      </w:r>
      <w:r w:rsidRPr="00243159">
        <w:rPr>
          <w:rFonts w:ascii="Arial" w:hAnsi="Arial" w:cs="Arial"/>
          <w:sz w:val="20"/>
          <w:szCs w:val="20"/>
          <w:lang w:val="da-DK"/>
        </w:rPr>
        <w:t>sammenskrivningen</w:t>
      </w:r>
      <w:r w:rsidR="00421DAD" w:rsidRPr="00243159">
        <w:rPr>
          <w:rFonts w:ascii="Arial" w:hAnsi="Arial" w:cs="Arial"/>
          <w:sz w:val="20"/>
          <w:szCs w:val="20"/>
          <w:lang w:val="da-DK"/>
        </w:rPr>
        <w:t xml:space="preserve"> at øge </w:t>
      </w:r>
      <w:r w:rsidR="00243159">
        <w:rPr>
          <w:rFonts w:ascii="Arial" w:hAnsi="Arial" w:cs="Arial"/>
          <w:sz w:val="20"/>
          <w:szCs w:val="20"/>
          <w:lang w:val="da-DK"/>
        </w:rPr>
        <w:t>g</w:t>
      </w:r>
      <w:r w:rsidR="00421DAD" w:rsidRPr="00243159">
        <w:rPr>
          <w:rFonts w:ascii="Arial" w:hAnsi="Arial" w:cs="Arial"/>
          <w:sz w:val="20"/>
          <w:szCs w:val="20"/>
          <w:lang w:val="da-DK"/>
        </w:rPr>
        <w:t xml:space="preserve">ennemsigtigheden </w:t>
      </w:r>
      <w:r w:rsidRPr="00243159">
        <w:rPr>
          <w:rFonts w:ascii="Arial" w:hAnsi="Arial" w:cs="Arial"/>
          <w:sz w:val="20"/>
          <w:szCs w:val="20"/>
          <w:lang w:val="da-DK"/>
        </w:rPr>
        <w:t xml:space="preserve">i </w:t>
      </w:r>
      <w:r w:rsidR="00421DAD" w:rsidRPr="00243159">
        <w:rPr>
          <w:rFonts w:ascii="Arial" w:hAnsi="Arial" w:cs="Arial"/>
          <w:sz w:val="20"/>
          <w:szCs w:val="20"/>
          <w:lang w:val="da-DK"/>
        </w:rPr>
        <w:t>virksomhedernes anmeldte tekniske grundlag, der kan være fragmenteret og derfor vanskeligt at overskue. Forsikringstilsynet har en forventning om, at alle virksomheder er i besiddelse af et sammenskrevet teknisk grundlag m.v., idet tilsynet vurderer, at virksomhederne i modsat fald ikke selv vil have et tilstrækkeligt overblik over det tekniske grundlag. Forsikringstilsynet har også en forventning om, at alle virksomheder er i besiddelse af det tekniske grundlag m.v. i elektronisk form, og at det derfor ikke vil være væsentligt ressourcekrævende for virksomhederne at indsende det sammenskrevne tekniske grundlag m.v. en gang om året.</w:t>
      </w:r>
    </w:p>
    <w:p w:rsidR="006B4156" w:rsidRPr="00243159" w:rsidRDefault="006B4156" w:rsidP="00EA2E2D">
      <w:pPr>
        <w:pStyle w:val="Listeafsnit"/>
        <w:spacing w:after="200" w:line="276" w:lineRule="auto"/>
        <w:rPr>
          <w:rFonts w:ascii="Arial" w:hAnsi="Arial" w:cs="Arial"/>
          <w:sz w:val="20"/>
          <w:szCs w:val="20"/>
          <w:lang w:val="da-DK"/>
        </w:rPr>
      </w:pPr>
    </w:p>
    <w:p w:rsidR="004125CB" w:rsidRPr="00243159" w:rsidRDefault="004125CB" w:rsidP="00B25405">
      <w:pPr>
        <w:pStyle w:val="Listeafsnit"/>
        <w:numPr>
          <w:ilvl w:val="1"/>
          <w:numId w:val="7"/>
        </w:numPr>
        <w:spacing w:after="200" w:line="276" w:lineRule="auto"/>
        <w:rPr>
          <w:rFonts w:ascii="Arial" w:hAnsi="Arial" w:cs="Arial"/>
          <w:i/>
          <w:sz w:val="20"/>
          <w:szCs w:val="20"/>
          <w:lang w:val="da-DK"/>
        </w:rPr>
      </w:pPr>
      <w:r w:rsidRPr="00243159">
        <w:rPr>
          <w:rFonts w:ascii="Arial" w:hAnsi="Arial" w:cs="Arial"/>
          <w:i/>
          <w:sz w:val="20"/>
          <w:szCs w:val="20"/>
          <w:lang w:val="da-DK"/>
        </w:rPr>
        <w:t>Kopiering af virksomhedens tekniske grundlag</w:t>
      </w:r>
      <w:r w:rsidR="00B25405" w:rsidRPr="00243159">
        <w:rPr>
          <w:rFonts w:ascii="Arial" w:hAnsi="Arial" w:cs="Arial"/>
          <w:i/>
          <w:sz w:val="20"/>
          <w:szCs w:val="20"/>
          <w:lang w:val="da-DK"/>
        </w:rPr>
        <w:t xml:space="preserve"> ind i Forsikringstilsynets formular kan ødelægge grundlagets formateringer og gøre grundlaget mindre overskueligt.</w:t>
      </w:r>
    </w:p>
    <w:p w:rsidR="003A13A0" w:rsidRDefault="003A13A0" w:rsidP="00B25405">
      <w:pPr>
        <w:pStyle w:val="Listeafsnit"/>
        <w:spacing w:after="200" w:line="276" w:lineRule="auto"/>
        <w:ind w:left="792"/>
        <w:rPr>
          <w:rFonts w:ascii="Arial" w:hAnsi="Arial" w:cs="Arial"/>
          <w:sz w:val="20"/>
          <w:szCs w:val="20"/>
          <w:lang w:val="da-DK"/>
        </w:rPr>
      </w:pPr>
      <w:r w:rsidRPr="00243159">
        <w:rPr>
          <w:rFonts w:ascii="Arial" w:hAnsi="Arial" w:cs="Arial"/>
          <w:sz w:val="20"/>
          <w:szCs w:val="20"/>
          <w:lang w:val="da-DK"/>
        </w:rPr>
        <w:t xml:space="preserve">Det er Forsikringstilsynets opfattelse, at virksomhederne skal anvende den nævnte formular til indberetning af det sammenskrevne tekniske grundlag mv. for at sikre, at </w:t>
      </w:r>
      <w:r w:rsidR="00AA4BF7" w:rsidRPr="00243159">
        <w:rPr>
          <w:rFonts w:ascii="Arial" w:hAnsi="Arial" w:cs="Arial"/>
          <w:sz w:val="20"/>
          <w:szCs w:val="20"/>
          <w:lang w:val="da-DK"/>
        </w:rPr>
        <w:t xml:space="preserve">virksomhederne indberetter </w:t>
      </w:r>
      <w:r w:rsidRPr="00243159">
        <w:rPr>
          <w:rFonts w:ascii="Arial" w:hAnsi="Arial" w:cs="Arial"/>
          <w:sz w:val="20"/>
          <w:szCs w:val="20"/>
          <w:lang w:val="da-DK"/>
        </w:rPr>
        <w:t xml:space="preserve">ensartet </w:t>
      </w:r>
      <w:r w:rsidR="00AA4BF7" w:rsidRPr="00243159">
        <w:rPr>
          <w:rFonts w:ascii="Arial" w:hAnsi="Arial" w:cs="Arial"/>
          <w:sz w:val="20"/>
          <w:szCs w:val="20"/>
          <w:lang w:val="da-DK"/>
        </w:rPr>
        <w:t>og korrekt.</w:t>
      </w:r>
      <w:r w:rsidRPr="00243159">
        <w:rPr>
          <w:rFonts w:ascii="Arial" w:hAnsi="Arial" w:cs="Arial"/>
          <w:sz w:val="20"/>
          <w:szCs w:val="20"/>
          <w:lang w:val="da-DK"/>
        </w:rPr>
        <w:t xml:space="preserve"> Forsikringstilsynet har forståelse for, </w:t>
      </w:r>
      <w:r w:rsidR="00AA4BF7" w:rsidRPr="00243159">
        <w:rPr>
          <w:rFonts w:ascii="Arial" w:hAnsi="Arial" w:cs="Arial"/>
          <w:sz w:val="20"/>
          <w:szCs w:val="20"/>
          <w:lang w:val="da-DK"/>
        </w:rPr>
        <w:t>at visse virksomheder måtte have tekniske udfordringer med at benytte formularen. Derfor vil det blive præciseret i formularen, at det vil ikke er et krav, at det sammenskrevne tekniske grundlag skal kopieres ind i selve formularen, men kan vedlægges</w:t>
      </w:r>
      <w:r w:rsidR="00552E8A">
        <w:rPr>
          <w:rFonts w:ascii="Arial" w:hAnsi="Arial" w:cs="Arial"/>
          <w:sz w:val="20"/>
          <w:szCs w:val="20"/>
          <w:lang w:val="da-DK"/>
        </w:rPr>
        <w:t xml:space="preserve"> som bilag og der henvises i formularen til bilaget</w:t>
      </w:r>
      <w:r w:rsidR="00AA4BF7" w:rsidRPr="00243159">
        <w:rPr>
          <w:rFonts w:ascii="Arial" w:hAnsi="Arial" w:cs="Arial"/>
          <w:sz w:val="20"/>
          <w:szCs w:val="20"/>
          <w:lang w:val="da-DK"/>
        </w:rPr>
        <w:t xml:space="preserve">. </w:t>
      </w:r>
    </w:p>
    <w:p w:rsidR="00B94511" w:rsidRDefault="00B94511" w:rsidP="00B25405">
      <w:pPr>
        <w:pStyle w:val="Listeafsnit"/>
        <w:spacing w:after="200" w:line="276" w:lineRule="auto"/>
        <w:ind w:left="792"/>
        <w:rPr>
          <w:rFonts w:ascii="Arial" w:hAnsi="Arial" w:cs="Arial"/>
          <w:sz w:val="20"/>
          <w:szCs w:val="20"/>
          <w:lang w:val="da-DK"/>
        </w:rPr>
      </w:pPr>
    </w:p>
    <w:p w:rsidR="00243159" w:rsidRDefault="00243159" w:rsidP="00243159">
      <w:pPr>
        <w:pStyle w:val="Listeafsnit"/>
        <w:numPr>
          <w:ilvl w:val="0"/>
          <w:numId w:val="7"/>
        </w:numPr>
        <w:spacing w:after="200" w:line="276" w:lineRule="auto"/>
        <w:rPr>
          <w:rFonts w:ascii="Arial" w:hAnsi="Arial" w:cs="Arial"/>
          <w:sz w:val="20"/>
          <w:szCs w:val="20"/>
          <w:lang w:val="da-DK"/>
        </w:rPr>
      </w:pPr>
      <w:r>
        <w:rPr>
          <w:rFonts w:ascii="Arial" w:hAnsi="Arial" w:cs="Arial"/>
          <w:sz w:val="20"/>
          <w:szCs w:val="20"/>
          <w:lang w:val="da-DK"/>
        </w:rPr>
        <w:t>§ 3, stk. 5, sidste pkt.</w:t>
      </w:r>
    </w:p>
    <w:p w:rsidR="00243159" w:rsidRDefault="009516EA" w:rsidP="009516EA">
      <w:pPr>
        <w:pStyle w:val="Listeafsnit"/>
        <w:spacing w:after="200" w:line="276" w:lineRule="auto"/>
        <w:ind w:left="708"/>
        <w:rPr>
          <w:rFonts w:ascii="Arial" w:hAnsi="Arial" w:cs="Arial"/>
          <w:i/>
          <w:sz w:val="20"/>
          <w:szCs w:val="20"/>
          <w:lang w:val="da-DK"/>
        </w:rPr>
      </w:pPr>
      <w:r>
        <w:rPr>
          <w:rFonts w:ascii="Arial" w:hAnsi="Arial" w:cs="Arial"/>
          <w:i/>
          <w:sz w:val="20"/>
          <w:szCs w:val="20"/>
          <w:lang w:val="da-DK"/>
        </w:rPr>
        <w:t>Kravet om at virksomhederne ved anmeldelse af bonussatser skal oplyse det forventede rente-, omkostnings- eller risikoresultat for de fem kommende år er ressourcekrævende og bør udgå.</w:t>
      </w:r>
    </w:p>
    <w:p w:rsidR="00A32F81" w:rsidRDefault="006B4156" w:rsidP="009516EA">
      <w:pPr>
        <w:pStyle w:val="Listeafsnit"/>
        <w:spacing w:after="200" w:line="276" w:lineRule="auto"/>
        <w:ind w:left="708"/>
        <w:rPr>
          <w:rFonts w:ascii="Arial" w:hAnsi="Arial" w:cs="Arial"/>
          <w:sz w:val="20"/>
          <w:szCs w:val="20"/>
          <w:lang w:val="da-DK"/>
        </w:rPr>
      </w:pPr>
      <w:r>
        <w:rPr>
          <w:rFonts w:ascii="Arial" w:hAnsi="Arial" w:cs="Arial"/>
          <w:sz w:val="20"/>
          <w:szCs w:val="20"/>
          <w:lang w:val="da-DK"/>
        </w:rPr>
        <w:t xml:space="preserve">Kravet om at </w:t>
      </w:r>
      <w:r w:rsidR="00A32F81">
        <w:rPr>
          <w:rFonts w:ascii="Arial" w:hAnsi="Arial" w:cs="Arial"/>
          <w:sz w:val="20"/>
          <w:szCs w:val="20"/>
          <w:lang w:val="da-DK"/>
        </w:rPr>
        <w:t xml:space="preserve">virksomhederne skal angive de forventede </w:t>
      </w:r>
      <w:r w:rsidR="00552E8A">
        <w:rPr>
          <w:rFonts w:ascii="Arial" w:hAnsi="Arial" w:cs="Arial"/>
          <w:sz w:val="20"/>
          <w:szCs w:val="20"/>
          <w:lang w:val="da-DK"/>
        </w:rPr>
        <w:t xml:space="preserve">økonomiske konsekvenser af de anmeldte </w:t>
      </w:r>
      <w:r w:rsidR="00A32F81">
        <w:rPr>
          <w:rFonts w:ascii="Arial" w:hAnsi="Arial" w:cs="Arial"/>
          <w:sz w:val="20"/>
          <w:szCs w:val="20"/>
          <w:lang w:val="da-DK"/>
        </w:rPr>
        <w:t>bonussatser for de fem kommende år er ikke et nyt krav. Som beskrevet i høringsbrevet er f</w:t>
      </w:r>
      <w:r w:rsidR="007B6A0F">
        <w:rPr>
          <w:rFonts w:ascii="Arial" w:hAnsi="Arial" w:cs="Arial"/>
          <w:sz w:val="20"/>
          <w:szCs w:val="20"/>
          <w:lang w:val="da-DK"/>
        </w:rPr>
        <w:t xml:space="preserve">ormålet </w:t>
      </w:r>
      <w:r w:rsidR="00B94511">
        <w:rPr>
          <w:rFonts w:ascii="Arial" w:hAnsi="Arial" w:cs="Arial"/>
          <w:sz w:val="20"/>
          <w:szCs w:val="20"/>
          <w:lang w:val="da-DK"/>
        </w:rPr>
        <w:t>med kravet</w:t>
      </w:r>
      <w:r w:rsidR="007B6A0F">
        <w:rPr>
          <w:rFonts w:ascii="Arial" w:hAnsi="Arial" w:cs="Arial"/>
          <w:sz w:val="20"/>
          <w:szCs w:val="20"/>
          <w:lang w:val="da-DK"/>
        </w:rPr>
        <w:t>, at Forsikringstilsynet</w:t>
      </w:r>
      <w:r w:rsidR="00A32F81">
        <w:rPr>
          <w:rFonts w:ascii="Arial" w:hAnsi="Arial" w:cs="Arial"/>
          <w:sz w:val="20"/>
          <w:szCs w:val="20"/>
          <w:lang w:val="da-DK"/>
        </w:rPr>
        <w:t xml:space="preserve"> kan føre tilsyn med, om de anmeldte satser giver anledning til systematiske under- eller overskud. </w:t>
      </w:r>
    </w:p>
    <w:p w:rsidR="009516EA" w:rsidRPr="009516EA" w:rsidRDefault="00B45109" w:rsidP="009516EA">
      <w:pPr>
        <w:pStyle w:val="Listeafsnit"/>
        <w:spacing w:after="200" w:line="276" w:lineRule="auto"/>
        <w:ind w:left="708"/>
        <w:rPr>
          <w:rFonts w:ascii="Arial" w:hAnsi="Arial" w:cs="Arial"/>
          <w:sz w:val="20"/>
          <w:szCs w:val="20"/>
          <w:lang w:val="da-DK"/>
        </w:rPr>
      </w:pPr>
      <w:r>
        <w:rPr>
          <w:rFonts w:ascii="Arial" w:hAnsi="Arial" w:cs="Arial"/>
          <w:sz w:val="20"/>
          <w:szCs w:val="20"/>
          <w:lang w:val="da-DK"/>
        </w:rPr>
        <w:t xml:space="preserve">Forsikringstilsynet har en forventning om, at </w:t>
      </w:r>
      <w:r w:rsidR="00A32F81">
        <w:rPr>
          <w:rFonts w:ascii="Arial" w:hAnsi="Arial" w:cs="Arial"/>
          <w:sz w:val="20"/>
          <w:szCs w:val="20"/>
          <w:lang w:val="da-DK"/>
        </w:rPr>
        <w:t xml:space="preserve">virksomhederne </w:t>
      </w:r>
      <w:r>
        <w:rPr>
          <w:rFonts w:ascii="Arial" w:hAnsi="Arial" w:cs="Arial"/>
          <w:sz w:val="20"/>
          <w:szCs w:val="20"/>
          <w:lang w:val="da-DK"/>
        </w:rPr>
        <w:t xml:space="preserve">er </w:t>
      </w:r>
      <w:r w:rsidR="00A32F81">
        <w:rPr>
          <w:rFonts w:ascii="Arial" w:hAnsi="Arial" w:cs="Arial"/>
          <w:sz w:val="20"/>
          <w:szCs w:val="20"/>
          <w:lang w:val="da-DK"/>
        </w:rPr>
        <w:t>i stand til at lave en fem års fremskrivning af de forventede bonussatser</w:t>
      </w:r>
      <w:r>
        <w:rPr>
          <w:rFonts w:ascii="Arial" w:hAnsi="Arial" w:cs="Arial"/>
          <w:sz w:val="20"/>
          <w:szCs w:val="20"/>
          <w:lang w:val="da-DK"/>
        </w:rPr>
        <w:t>,</w:t>
      </w:r>
      <w:r w:rsidR="00A32F81">
        <w:rPr>
          <w:rFonts w:ascii="Arial" w:hAnsi="Arial" w:cs="Arial"/>
          <w:sz w:val="20"/>
          <w:szCs w:val="20"/>
          <w:lang w:val="da-DK"/>
        </w:rPr>
        <w:t xml:space="preserve"> og at en sådan fremskrivning ikke bør være meget byrdefuld for virksomhederne.</w:t>
      </w:r>
    </w:p>
    <w:p w:rsidR="00AA4BF7" w:rsidRPr="00243159" w:rsidRDefault="00AA4BF7" w:rsidP="00B25405">
      <w:pPr>
        <w:pStyle w:val="Listeafsnit"/>
        <w:spacing w:after="200" w:line="276" w:lineRule="auto"/>
        <w:ind w:left="792"/>
        <w:rPr>
          <w:rFonts w:ascii="Arial" w:hAnsi="Arial" w:cs="Arial"/>
          <w:sz w:val="20"/>
          <w:szCs w:val="20"/>
          <w:lang w:val="da-DK"/>
        </w:rPr>
      </w:pPr>
    </w:p>
    <w:p w:rsidR="0039347B" w:rsidRPr="0039347B" w:rsidRDefault="00EA2E2D" w:rsidP="00330019">
      <w:pPr>
        <w:pStyle w:val="Listeafsnit"/>
        <w:numPr>
          <w:ilvl w:val="0"/>
          <w:numId w:val="7"/>
        </w:numPr>
        <w:spacing w:after="200" w:line="276" w:lineRule="auto"/>
        <w:ind w:left="792"/>
        <w:rPr>
          <w:rFonts w:ascii="Arial" w:hAnsi="Arial" w:cs="Arial"/>
          <w:i/>
          <w:sz w:val="20"/>
          <w:szCs w:val="20"/>
          <w:lang w:val="da-DK"/>
        </w:rPr>
      </w:pPr>
      <w:r w:rsidRPr="0039347B">
        <w:rPr>
          <w:rFonts w:ascii="Arial" w:hAnsi="Arial" w:cs="Arial"/>
          <w:sz w:val="20"/>
          <w:szCs w:val="20"/>
          <w:lang w:val="da-DK"/>
        </w:rPr>
        <w:t xml:space="preserve">§ 3, stk. </w:t>
      </w:r>
      <w:r w:rsidR="00BC2799" w:rsidRPr="0039347B">
        <w:rPr>
          <w:rFonts w:ascii="Arial" w:hAnsi="Arial" w:cs="Arial"/>
          <w:sz w:val="20"/>
          <w:szCs w:val="20"/>
          <w:lang w:val="da-DK"/>
        </w:rPr>
        <w:t>6</w:t>
      </w:r>
      <w:r w:rsidR="008545D2" w:rsidRPr="0039347B">
        <w:rPr>
          <w:rFonts w:ascii="Arial" w:hAnsi="Arial" w:cs="Arial"/>
          <w:sz w:val="20"/>
          <w:szCs w:val="20"/>
          <w:lang w:val="da-DK"/>
        </w:rPr>
        <w:t>, nr. 3</w:t>
      </w:r>
      <w:r w:rsidRPr="0039347B">
        <w:rPr>
          <w:rFonts w:ascii="Arial" w:hAnsi="Arial" w:cs="Arial"/>
          <w:sz w:val="20"/>
          <w:szCs w:val="20"/>
          <w:lang w:val="da-DK"/>
        </w:rPr>
        <w:t>.</w:t>
      </w:r>
      <w:r w:rsidR="008545D2" w:rsidRPr="0039347B">
        <w:rPr>
          <w:rFonts w:ascii="Arial" w:hAnsi="Arial" w:cs="Arial"/>
          <w:sz w:val="20"/>
          <w:szCs w:val="20"/>
          <w:lang w:val="da-DK"/>
        </w:rPr>
        <w:t xml:space="preserve"> </w:t>
      </w:r>
    </w:p>
    <w:p w:rsidR="008545D2" w:rsidRPr="0039347B" w:rsidRDefault="008545D2" w:rsidP="0039347B">
      <w:pPr>
        <w:pStyle w:val="Listeafsnit"/>
        <w:spacing w:after="200" w:line="276" w:lineRule="auto"/>
        <w:ind w:left="792"/>
        <w:rPr>
          <w:rFonts w:ascii="Arial" w:hAnsi="Arial" w:cs="Arial"/>
          <w:i/>
          <w:sz w:val="20"/>
          <w:szCs w:val="20"/>
          <w:lang w:val="da-DK"/>
        </w:rPr>
      </w:pPr>
      <w:r w:rsidRPr="0039347B">
        <w:rPr>
          <w:rFonts w:ascii="Arial" w:hAnsi="Arial" w:cs="Arial"/>
          <w:i/>
          <w:sz w:val="20"/>
          <w:szCs w:val="20"/>
          <w:lang w:val="da-DK"/>
        </w:rPr>
        <w:t xml:space="preserve">Bestemmelsen er overflødig, </w:t>
      </w:r>
      <w:r w:rsidR="00243159" w:rsidRPr="0039347B">
        <w:rPr>
          <w:rFonts w:ascii="Arial" w:hAnsi="Arial" w:cs="Arial"/>
          <w:i/>
          <w:sz w:val="20"/>
          <w:szCs w:val="20"/>
          <w:lang w:val="da-DK"/>
        </w:rPr>
        <w:t>fordi</w:t>
      </w:r>
      <w:r w:rsidRPr="0039347B">
        <w:rPr>
          <w:rFonts w:ascii="Arial" w:hAnsi="Arial" w:cs="Arial"/>
          <w:i/>
          <w:sz w:val="20"/>
          <w:szCs w:val="20"/>
          <w:lang w:val="da-DK"/>
        </w:rPr>
        <w:t xml:space="preserve"> diskonteringsrenten bliver præciseret i den nye regnskabsbekendtgørelse.</w:t>
      </w:r>
    </w:p>
    <w:p w:rsidR="008545D2" w:rsidRPr="00243159" w:rsidRDefault="008545D2" w:rsidP="008545D2">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Det følger at udkastets § 3, stk. 6, nr. 3, at ved anmeldelse af grundlaget for beregning af livsforsikringshensættelser, jf. § 14, stk. 1, nr. 3 i forsikringsloven, skal livsforsikringsselskabet redegøre for, at der ved beregningen anvendes: </w:t>
      </w:r>
    </w:p>
    <w:p w:rsidR="008545D2" w:rsidRPr="00243159" w:rsidRDefault="008545D2" w:rsidP="008545D2">
      <w:pPr>
        <w:pStyle w:val="Listeafsnit"/>
        <w:spacing w:after="200" w:line="276" w:lineRule="auto"/>
        <w:ind w:left="1416"/>
        <w:rPr>
          <w:rFonts w:ascii="Arial" w:hAnsi="Arial" w:cs="Arial"/>
          <w:i/>
          <w:sz w:val="20"/>
          <w:szCs w:val="20"/>
          <w:lang w:val="da-DK"/>
        </w:rPr>
      </w:pPr>
      <w:r w:rsidRPr="00243159">
        <w:rPr>
          <w:rFonts w:ascii="Arial" w:hAnsi="Arial" w:cs="Arial"/>
          <w:i/>
          <w:sz w:val="20"/>
          <w:szCs w:val="20"/>
          <w:lang w:val="da-DK"/>
        </w:rPr>
        <w:t>”3) en diskonteringsrente, der er opgjort i overensstemmelse med de i lovgivningen fastsatte krav.”</w:t>
      </w:r>
      <w:r w:rsidR="00EA2E2D" w:rsidRPr="00243159">
        <w:rPr>
          <w:rFonts w:ascii="Arial" w:hAnsi="Arial" w:cs="Arial"/>
          <w:i/>
          <w:sz w:val="20"/>
          <w:szCs w:val="20"/>
          <w:lang w:val="da-DK"/>
        </w:rPr>
        <w:t xml:space="preserve"> </w:t>
      </w:r>
    </w:p>
    <w:p w:rsidR="006B4156" w:rsidRDefault="001B7C58" w:rsidP="008545D2">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Diskonteringsrenten </w:t>
      </w:r>
      <w:r w:rsidR="004125CB" w:rsidRPr="00243159">
        <w:rPr>
          <w:rFonts w:ascii="Arial" w:hAnsi="Arial" w:cs="Arial"/>
          <w:sz w:val="20"/>
          <w:szCs w:val="20"/>
          <w:lang w:val="da-DK"/>
        </w:rPr>
        <w:t>bliver</w:t>
      </w:r>
      <w:r w:rsidRPr="00243159">
        <w:rPr>
          <w:rFonts w:ascii="Arial" w:hAnsi="Arial" w:cs="Arial"/>
          <w:sz w:val="20"/>
          <w:szCs w:val="20"/>
          <w:lang w:val="da-DK"/>
        </w:rPr>
        <w:t xml:space="preserve"> defineret i udkastet til den nye regnskabsbekendtgørelse § 65 a. </w:t>
      </w:r>
      <w:r w:rsidR="00AB1180" w:rsidRPr="00243159">
        <w:rPr>
          <w:rFonts w:ascii="Arial" w:hAnsi="Arial" w:cs="Arial"/>
          <w:sz w:val="20"/>
          <w:szCs w:val="20"/>
          <w:lang w:val="da-DK"/>
        </w:rPr>
        <w:t xml:space="preserve">Her er det muligt at anvende enten den månedlige rentekurve fra EIOPA med den tilhørende </w:t>
      </w:r>
      <w:r w:rsidR="00AB1180" w:rsidRPr="00243159">
        <w:rPr>
          <w:rFonts w:ascii="Arial" w:hAnsi="Arial" w:cs="Arial"/>
          <w:sz w:val="20"/>
          <w:szCs w:val="20"/>
          <w:lang w:val="da-DK"/>
        </w:rPr>
        <w:lastRenderedPageBreak/>
        <w:t xml:space="preserve">danske volatilitetsjustering, jf. stk.1 eller den daglige rentekurve fra Finanstilsynet med den tilhørende danske volatilitetsjustering, jf. stk. 2. </w:t>
      </w:r>
    </w:p>
    <w:p w:rsidR="008545D2" w:rsidRDefault="00167B8A" w:rsidP="008545D2">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Idet virksomhederne har valgmulighed mht. valg af </w:t>
      </w:r>
      <w:r w:rsidR="004125CB" w:rsidRPr="00243159">
        <w:rPr>
          <w:rFonts w:ascii="Arial" w:hAnsi="Arial" w:cs="Arial"/>
          <w:sz w:val="20"/>
          <w:szCs w:val="20"/>
          <w:lang w:val="da-DK"/>
        </w:rPr>
        <w:t>diskonteringsrente</w:t>
      </w:r>
      <w:r w:rsidRPr="00243159">
        <w:rPr>
          <w:rFonts w:ascii="Arial" w:hAnsi="Arial" w:cs="Arial"/>
          <w:sz w:val="20"/>
          <w:szCs w:val="20"/>
          <w:lang w:val="da-DK"/>
        </w:rPr>
        <w:t xml:space="preserve">, er det vigtigt at virksomhederne i deres tekniske grundlag angiver hvilken </w:t>
      </w:r>
      <w:r w:rsidR="004125CB" w:rsidRPr="00243159">
        <w:rPr>
          <w:rFonts w:ascii="Arial" w:hAnsi="Arial" w:cs="Arial"/>
          <w:sz w:val="20"/>
          <w:szCs w:val="20"/>
          <w:lang w:val="da-DK"/>
        </w:rPr>
        <w:t>diskonteringsrente</w:t>
      </w:r>
      <w:r w:rsidRPr="00243159">
        <w:rPr>
          <w:rFonts w:ascii="Arial" w:hAnsi="Arial" w:cs="Arial"/>
          <w:sz w:val="20"/>
          <w:szCs w:val="20"/>
          <w:lang w:val="da-DK"/>
        </w:rPr>
        <w:t xml:space="preserve"> virksomhederne har valgt</w:t>
      </w:r>
      <w:r w:rsidR="004125CB" w:rsidRPr="00243159">
        <w:rPr>
          <w:rFonts w:ascii="Arial" w:hAnsi="Arial" w:cs="Arial"/>
          <w:sz w:val="20"/>
          <w:szCs w:val="20"/>
          <w:lang w:val="da-DK"/>
        </w:rPr>
        <w:t xml:space="preserve"> til beregning af livsforsikringshensættelserne.</w:t>
      </w:r>
      <w:r w:rsidR="00243159">
        <w:rPr>
          <w:rFonts w:ascii="Arial" w:hAnsi="Arial" w:cs="Arial"/>
          <w:sz w:val="20"/>
          <w:szCs w:val="20"/>
          <w:lang w:val="da-DK"/>
        </w:rPr>
        <w:t xml:space="preserve"> </w:t>
      </w:r>
    </w:p>
    <w:p w:rsidR="00B94511" w:rsidRPr="00243159" w:rsidRDefault="00B94511" w:rsidP="008545D2">
      <w:pPr>
        <w:pStyle w:val="Listeafsnit"/>
        <w:spacing w:after="200" w:line="276" w:lineRule="auto"/>
        <w:rPr>
          <w:rFonts w:ascii="Arial" w:hAnsi="Arial" w:cs="Arial"/>
          <w:sz w:val="20"/>
          <w:szCs w:val="20"/>
          <w:lang w:val="da-DK"/>
        </w:rPr>
      </w:pPr>
    </w:p>
    <w:p w:rsidR="003D3534" w:rsidRPr="00B94511" w:rsidRDefault="00202221" w:rsidP="00AE0306">
      <w:pPr>
        <w:pStyle w:val="Listeafsnit"/>
        <w:numPr>
          <w:ilvl w:val="0"/>
          <w:numId w:val="7"/>
        </w:numPr>
        <w:spacing w:after="200" w:line="276" w:lineRule="auto"/>
        <w:rPr>
          <w:rFonts w:ascii="Arial" w:hAnsi="Arial" w:cs="Arial"/>
          <w:sz w:val="20"/>
          <w:szCs w:val="20"/>
          <w:lang w:val="da-DK"/>
        </w:rPr>
      </w:pPr>
      <w:r w:rsidRPr="00B94511">
        <w:rPr>
          <w:rFonts w:ascii="Arial" w:hAnsi="Arial" w:cs="Arial"/>
          <w:sz w:val="20"/>
          <w:szCs w:val="20"/>
          <w:lang w:val="da-DK"/>
        </w:rPr>
        <w:t>§§ 4-7</w:t>
      </w:r>
      <w:r w:rsidR="00460FBE" w:rsidRPr="00B94511">
        <w:rPr>
          <w:rFonts w:ascii="Arial" w:hAnsi="Arial" w:cs="Arial"/>
          <w:sz w:val="20"/>
          <w:szCs w:val="20"/>
          <w:lang w:val="da-DK"/>
        </w:rPr>
        <w:t xml:space="preserve">. </w:t>
      </w:r>
    </w:p>
    <w:p w:rsidR="00460FBE" w:rsidRPr="00243159" w:rsidRDefault="00460FBE" w:rsidP="003D3534">
      <w:pPr>
        <w:pStyle w:val="Listeafsnit"/>
        <w:numPr>
          <w:ilvl w:val="1"/>
          <w:numId w:val="7"/>
        </w:numPr>
        <w:spacing w:after="200" w:line="276" w:lineRule="auto"/>
        <w:rPr>
          <w:rFonts w:ascii="Arial" w:hAnsi="Arial" w:cs="Arial"/>
          <w:i/>
          <w:sz w:val="20"/>
          <w:szCs w:val="20"/>
          <w:lang w:val="da-DK"/>
        </w:rPr>
      </w:pPr>
      <w:r w:rsidRPr="00243159">
        <w:rPr>
          <w:rFonts w:ascii="Arial" w:hAnsi="Arial" w:cs="Arial"/>
          <w:i/>
          <w:sz w:val="20"/>
          <w:szCs w:val="20"/>
          <w:lang w:val="da-DK"/>
        </w:rPr>
        <w:t xml:space="preserve">Hvorfor skal anmeldelserne af det tekniske grundlag </w:t>
      </w:r>
      <w:r w:rsidR="00202221" w:rsidRPr="00243159">
        <w:rPr>
          <w:rFonts w:ascii="Arial" w:hAnsi="Arial" w:cs="Arial"/>
          <w:i/>
          <w:sz w:val="20"/>
          <w:szCs w:val="20"/>
          <w:lang w:val="da-DK"/>
        </w:rPr>
        <w:t>være offentligt tilgængeligt</w:t>
      </w:r>
      <w:r w:rsidRPr="00243159">
        <w:rPr>
          <w:rFonts w:ascii="Arial" w:hAnsi="Arial" w:cs="Arial"/>
          <w:i/>
          <w:sz w:val="20"/>
          <w:szCs w:val="20"/>
          <w:lang w:val="da-DK"/>
        </w:rPr>
        <w:t>?</w:t>
      </w:r>
    </w:p>
    <w:p w:rsidR="0014112B" w:rsidRPr="00243159" w:rsidRDefault="0014112B" w:rsidP="00243159">
      <w:pPr>
        <w:pStyle w:val="Listeafsnit"/>
        <w:numPr>
          <w:ilvl w:val="1"/>
          <w:numId w:val="7"/>
        </w:numPr>
        <w:spacing w:after="200" w:line="276" w:lineRule="auto"/>
        <w:rPr>
          <w:rFonts w:ascii="Arial" w:hAnsi="Arial" w:cs="Arial"/>
          <w:i/>
          <w:sz w:val="20"/>
          <w:szCs w:val="20"/>
          <w:lang w:val="da-DK"/>
        </w:rPr>
      </w:pPr>
      <w:r w:rsidRPr="00243159">
        <w:rPr>
          <w:rFonts w:ascii="Arial" w:hAnsi="Arial" w:cs="Arial"/>
          <w:i/>
          <w:sz w:val="20"/>
          <w:szCs w:val="20"/>
          <w:lang w:val="da-DK"/>
        </w:rPr>
        <w:t>Hvilken udgave af det anmeldte tekniske grundlag er offentlig tilgængelig?</w:t>
      </w:r>
    </w:p>
    <w:p w:rsidR="00460FBE" w:rsidRDefault="00202221" w:rsidP="00460FBE">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Kravet om at det tekniske grundlag skal være offentligt tilgængeligt er ikke et nyt krav. </w:t>
      </w:r>
      <w:r w:rsidR="00691382" w:rsidRPr="00243159">
        <w:rPr>
          <w:rFonts w:ascii="Arial" w:hAnsi="Arial" w:cs="Arial"/>
          <w:sz w:val="20"/>
          <w:szCs w:val="20"/>
          <w:lang w:val="da-DK"/>
        </w:rPr>
        <w:t xml:space="preserve">Enhver person kan således få tilsendt den offentlige udgave af det tekniske grundlag. </w:t>
      </w:r>
      <w:r w:rsidR="00460FBE" w:rsidRPr="00243159">
        <w:rPr>
          <w:rFonts w:ascii="Arial" w:hAnsi="Arial" w:cs="Arial"/>
          <w:sz w:val="20"/>
          <w:szCs w:val="20"/>
          <w:lang w:val="da-DK"/>
        </w:rPr>
        <w:t>Offentlighed omkring prisningsgrundlaget mv. er med til at sikre et effektivt marked for forsikringstagerne på et område, hvor det er meget svært for kunderne at gennemskue produkternes karakteristika og dermed at kunne sammenligne priser.</w:t>
      </w:r>
    </w:p>
    <w:p w:rsidR="00B94511" w:rsidRPr="00243159" w:rsidRDefault="00B94511" w:rsidP="00460FBE">
      <w:pPr>
        <w:pStyle w:val="Listeafsnit"/>
        <w:spacing w:after="200" w:line="276" w:lineRule="auto"/>
        <w:rPr>
          <w:rFonts w:ascii="Arial" w:hAnsi="Arial" w:cs="Arial"/>
          <w:sz w:val="20"/>
          <w:szCs w:val="20"/>
          <w:lang w:val="da-DK"/>
        </w:rPr>
      </w:pPr>
    </w:p>
    <w:p w:rsidR="00243159" w:rsidRPr="00552E8A" w:rsidRDefault="00691382" w:rsidP="0078624B">
      <w:pPr>
        <w:pStyle w:val="Listeafsnit"/>
        <w:numPr>
          <w:ilvl w:val="0"/>
          <w:numId w:val="7"/>
        </w:numPr>
        <w:spacing w:after="200" w:line="276" w:lineRule="auto"/>
        <w:rPr>
          <w:rFonts w:ascii="Arial" w:hAnsi="Arial" w:cs="Arial"/>
          <w:sz w:val="20"/>
          <w:szCs w:val="20"/>
          <w:lang w:val="da-DK"/>
        </w:rPr>
      </w:pPr>
      <w:r w:rsidRPr="00552E8A">
        <w:rPr>
          <w:rFonts w:ascii="Arial" w:hAnsi="Arial" w:cs="Arial"/>
          <w:sz w:val="20"/>
          <w:szCs w:val="20"/>
          <w:lang w:val="da-DK"/>
        </w:rPr>
        <w:t>§ 8</w:t>
      </w:r>
      <w:r w:rsidR="00202221" w:rsidRPr="00552E8A">
        <w:rPr>
          <w:rFonts w:ascii="Arial" w:hAnsi="Arial" w:cs="Arial"/>
          <w:sz w:val="20"/>
          <w:szCs w:val="20"/>
          <w:lang w:val="da-DK"/>
        </w:rPr>
        <w:t xml:space="preserve">. </w:t>
      </w:r>
    </w:p>
    <w:p w:rsidR="002F4BED" w:rsidRPr="00243159" w:rsidRDefault="002F4BED" w:rsidP="00A32F81">
      <w:pPr>
        <w:pStyle w:val="Listeafsnit"/>
        <w:spacing w:after="200" w:line="276" w:lineRule="auto"/>
        <w:ind w:left="792"/>
        <w:rPr>
          <w:rFonts w:ascii="Arial" w:hAnsi="Arial" w:cs="Arial"/>
          <w:i/>
          <w:sz w:val="20"/>
          <w:szCs w:val="20"/>
          <w:lang w:val="da-DK"/>
        </w:rPr>
      </w:pPr>
      <w:r w:rsidRPr="00243159">
        <w:rPr>
          <w:rFonts w:ascii="Arial" w:hAnsi="Arial" w:cs="Arial"/>
          <w:i/>
          <w:sz w:val="20"/>
          <w:szCs w:val="20"/>
          <w:lang w:val="da-DK"/>
        </w:rPr>
        <w:t>For at sikre, at selskabernes indsendte anmeldelser er korrekte foreslås det, at Forsikringstilsynet opretter en oversigt over indsendte anmeldelser på tilsynets hjemmeside eller alternative indsætter en bestemmelse i bekendtgørelsen om at tilsynet skal kvittere for modtagelse på modtagne anmeldelser.</w:t>
      </w:r>
    </w:p>
    <w:p w:rsidR="002F4BED" w:rsidRPr="00243159" w:rsidRDefault="002F4BED" w:rsidP="002F4BED">
      <w:pPr>
        <w:pStyle w:val="Listeafsnit"/>
        <w:spacing w:after="200" w:line="276" w:lineRule="auto"/>
        <w:rPr>
          <w:rFonts w:ascii="Arial" w:hAnsi="Arial" w:cs="Arial"/>
          <w:sz w:val="20"/>
          <w:szCs w:val="20"/>
          <w:lang w:val="da-DK"/>
        </w:rPr>
      </w:pPr>
      <w:r w:rsidRPr="00243159">
        <w:rPr>
          <w:rFonts w:ascii="Arial" w:hAnsi="Arial" w:cs="Arial"/>
          <w:sz w:val="20"/>
          <w:szCs w:val="20"/>
          <w:lang w:val="da-DK"/>
        </w:rPr>
        <w:t xml:space="preserve">Forsikringstilsynet vil oprette et offentligt register for teknisk grundlag på tilsynets hjemmeside. Ligeledes vil Forsikringstilsynet </w:t>
      </w:r>
      <w:r w:rsidR="00BC2799" w:rsidRPr="00243159">
        <w:rPr>
          <w:rFonts w:ascii="Arial" w:hAnsi="Arial" w:cs="Arial"/>
          <w:sz w:val="20"/>
          <w:szCs w:val="20"/>
          <w:lang w:val="da-DK"/>
        </w:rPr>
        <w:t xml:space="preserve">fremover </w:t>
      </w:r>
      <w:r w:rsidRPr="00243159">
        <w:rPr>
          <w:rFonts w:ascii="Arial" w:hAnsi="Arial" w:cs="Arial"/>
          <w:sz w:val="20"/>
          <w:szCs w:val="20"/>
          <w:lang w:val="da-DK"/>
        </w:rPr>
        <w:t>bekræfte for modtagelsen af modtagne anmeldelser.</w:t>
      </w:r>
    </w:p>
    <w:p w:rsidR="00EA2E2D" w:rsidRPr="00243159" w:rsidRDefault="00EA2E2D" w:rsidP="00A32F81">
      <w:pPr>
        <w:pStyle w:val="Listeafsnit"/>
        <w:spacing w:after="200" w:line="276" w:lineRule="auto"/>
        <w:ind w:left="360"/>
        <w:rPr>
          <w:rFonts w:ascii="Arial" w:hAnsi="Arial" w:cs="Arial"/>
          <w:sz w:val="20"/>
          <w:szCs w:val="20"/>
          <w:lang w:val="da-DK"/>
        </w:rPr>
      </w:pPr>
    </w:p>
    <w:p w:rsidR="00EC7936" w:rsidRPr="00243159" w:rsidRDefault="006F4FC4" w:rsidP="00A33E61">
      <w:pPr>
        <w:spacing w:after="200" w:line="276" w:lineRule="auto"/>
        <w:rPr>
          <w:rFonts w:ascii="Arial" w:hAnsi="Arial" w:cs="Arial"/>
          <w:sz w:val="20"/>
          <w:szCs w:val="20"/>
          <w:lang w:val="da-DK"/>
        </w:rPr>
      </w:pP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t>/</w:t>
      </w:r>
      <w:sdt>
        <w:sdtPr>
          <w:rPr>
            <w:rFonts w:ascii="Arial" w:hAnsi="Arial" w:cs="Arial"/>
            <w:sz w:val="20"/>
            <w:szCs w:val="20"/>
            <w:lang w:val="da-DK"/>
          </w:rPr>
          <w:alias w:val="viðgeri"/>
          <w:tag w:val="OurRef.Name"/>
          <w:id w:val="10010"/>
          <w:placeholder>
            <w:docPart w:val="B66121785D934616995708FDB71ED3BC"/>
          </w:placeholder>
          <w:dataBinding w:prefixMappings="xmlns:gbs='http://www.software-innovation.no/growBusinessDocument'" w:xpath="/gbs:GrowBusinessDocument/gbs:OurRef.Name[@gbs:key='10010']" w:storeItemID="{A71D5EB8-DD50-4B60-B751-C326F0704801}"/>
          <w:text/>
        </w:sdtPr>
        <w:sdtEndPr/>
        <w:sdtContent>
          <w:r w:rsidR="002513C2" w:rsidRPr="00243159">
            <w:rPr>
              <w:rFonts w:ascii="Arial" w:hAnsi="Arial" w:cs="Arial"/>
              <w:sz w:val="20"/>
              <w:szCs w:val="20"/>
              <w:lang w:val="da-DK"/>
            </w:rPr>
            <w:t>Gudmundur Effersøe Nónstein</w:t>
          </w:r>
        </w:sdtContent>
      </w:sdt>
    </w:p>
    <w:p w:rsidR="00313358" w:rsidRPr="00243159" w:rsidRDefault="00A33E61" w:rsidP="00313358">
      <w:pPr>
        <w:spacing w:after="200" w:line="276" w:lineRule="auto"/>
        <w:rPr>
          <w:lang w:val="da-DK"/>
        </w:rPr>
      </w:pPr>
      <w:r w:rsidRPr="00243159">
        <w:rPr>
          <w:rFonts w:ascii="Arial" w:hAnsi="Arial" w:cs="Arial"/>
          <w:sz w:val="20"/>
          <w:szCs w:val="20"/>
          <w:lang w:val="da-DK"/>
        </w:rPr>
        <w:tab/>
      </w:r>
      <w:r w:rsidRPr="00243159">
        <w:rPr>
          <w:rFonts w:ascii="Arial" w:hAnsi="Arial" w:cs="Arial"/>
          <w:sz w:val="20"/>
          <w:szCs w:val="20"/>
          <w:lang w:val="da-DK"/>
        </w:rPr>
        <w:tab/>
      </w:r>
      <w:r w:rsidRPr="00243159">
        <w:rPr>
          <w:rFonts w:ascii="Arial" w:hAnsi="Arial" w:cs="Arial"/>
          <w:sz w:val="20"/>
          <w:szCs w:val="20"/>
          <w:lang w:val="da-DK"/>
        </w:rPr>
        <w:tab/>
      </w:r>
      <w:r w:rsidRPr="00243159">
        <w:rPr>
          <w:lang w:val="da-DK"/>
        </w:rPr>
        <w:tab/>
      </w:r>
      <w:r w:rsidR="006F4FC4" w:rsidRPr="00243159">
        <w:rPr>
          <w:lang w:val="da-DK"/>
        </w:rPr>
        <w:tab/>
      </w:r>
      <w:r w:rsidR="006F4FC4" w:rsidRPr="00243159">
        <w:rPr>
          <w:lang w:val="da-DK"/>
        </w:rPr>
        <w:tab/>
      </w:r>
    </w:p>
    <w:sectPr w:rsidR="00313358" w:rsidRPr="00243159" w:rsidSect="00313358">
      <w:headerReference w:type="default" r:id="rId9"/>
      <w:footerReference w:type="default" r:id="rId10"/>
      <w:headerReference w:type="first" r:id="rId11"/>
      <w:footerReference w:type="first" r:id="rId12"/>
      <w:pgSz w:w="11906" w:h="16838"/>
      <w:pgMar w:top="2552" w:right="1440" w:bottom="1440" w:left="1276" w:header="39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5D" w:rsidRDefault="0011615D" w:rsidP="00CD195E">
      <w:r>
        <w:separator/>
      </w:r>
    </w:p>
  </w:endnote>
  <w:endnote w:type="continuationSeparator" w:id="0">
    <w:p w:rsidR="0011615D" w:rsidRDefault="0011615D"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231497" w:rsidRPr="00313358" w:rsidRDefault="003630FE" w:rsidP="00313358">
            <w:pPr>
              <w:pStyle w:val="Sidefod"/>
              <w:jc w:val="center"/>
              <w:rPr>
                <w:b/>
                <w:color w:val="000000" w:themeColor="text1"/>
                <w:sz w:val="22"/>
              </w:rPr>
            </w:pPr>
            <w:r w:rsidRPr="00313358">
              <w:rPr>
                <w:rStyle w:val="AdressuUppl"/>
              </w:rPr>
              <w:fldChar w:fldCharType="begin"/>
            </w:r>
            <w:r w:rsidR="007B7C76" w:rsidRPr="00313358">
              <w:rPr>
                <w:rStyle w:val="AdressuUppl"/>
              </w:rPr>
              <w:instrText xml:space="preserve"> PAGE </w:instrText>
            </w:r>
            <w:r w:rsidRPr="00313358">
              <w:rPr>
                <w:rStyle w:val="AdressuUppl"/>
              </w:rPr>
              <w:fldChar w:fldCharType="separate"/>
            </w:r>
            <w:r w:rsidR="009716DF">
              <w:rPr>
                <w:rStyle w:val="AdressuUppl"/>
                <w:noProof/>
              </w:rPr>
              <w:t>2</w:t>
            </w:r>
            <w:r w:rsidRPr="00313358">
              <w:rPr>
                <w:rStyle w:val="AdressuUppl"/>
              </w:rPr>
              <w:fldChar w:fldCharType="end"/>
            </w:r>
            <w:r w:rsidR="007B7C76" w:rsidRPr="00313358">
              <w:rPr>
                <w:rStyle w:val="AdressuUppl"/>
              </w:rPr>
              <w:t>/</w:t>
            </w:r>
            <w:r w:rsidR="009716DF">
              <w:fldChar w:fldCharType="begin"/>
            </w:r>
            <w:r w:rsidR="009716DF">
              <w:instrText xml:space="preserve"> NUMPAGES  \* MERGEFORMAT </w:instrText>
            </w:r>
            <w:r w:rsidR="009716DF">
              <w:fldChar w:fldCharType="separate"/>
            </w:r>
            <w:r w:rsidR="009716DF" w:rsidRPr="009716DF">
              <w:rPr>
                <w:rStyle w:val="AdressuUppl"/>
                <w:noProof/>
              </w:rPr>
              <w:t>3</w:t>
            </w:r>
            <w:r w:rsidR="009716DF">
              <w:rPr>
                <w:rStyle w:val="AdressuUppl"/>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91" w:rsidRPr="00A7453C" w:rsidRDefault="002F025A" w:rsidP="00A7453C">
    <w:pPr>
      <w:pStyle w:val="Sidefod"/>
    </w:pPr>
    <w:r>
      <w:rPr>
        <w:noProof/>
        <w:lang w:val="da-DK" w:eastAsia="da-DK" w:bidi="ar-SA"/>
      </w:rPr>
      <w:drawing>
        <wp:inline distT="0" distB="0" distL="0" distR="0">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5D" w:rsidRDefault="0011615D" w:rsidP="00CD195E">
      <w:r>
        <w:separator/>
      </w:r>
    </w:p>
  </w:footnote>
  <w:footnote w:type="continuationSeparator" w:id="0">
    <w:p w:rsidR="0011615D" w:rsidRDefault="0011615D"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A" w:rsidRDefault="009716DF">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56.3pt;margin-top:-23.6pt;width:213.75pt;height:104.25pt;z-index:251664384;mso-width-relative:margin;mso-height-relative:margin" stroked="f">
          <v:textbox style="mso-next-textbox:#_x0000_s2050">
            <w:txbxContent>
              <w:p w:rsidR="000349E0" w:rsidRDefault="002F025A">
                <w:r>
                  <w:rPr>
                    <w:noProof/>
                    <w:lang w:val="da-DK" w:eastAsia="da-DK" w:bidi="ar-SA"/>
                  </w:rPr>
                  <w:drawing>
                    <wp:inline distT="0" distB="0" distL="0" distR="0">
                      <wp:extent cx="2531745" cy="1198520"/>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531745" cy="119852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97" w:rsidRPr="000944DA" w:rsidRDefault="009716DF" w:rsidP="00A47C91">
    <w:pPr>
      <w:pStyle w:val="Sidehoved"/>
      <w:tabs>
        <w:tab w:val="clear" w:pos="9026"/>
        <w:tab w:val="right" w:pos="9214"/>
      </w:tabs>
      <w:ind w:right="-188"/>
      <w:jc w:val="right"/>
      <w:rPr>
        <w:rFonts w:ascii="Arial Narrow" w:hAnsi="Arial Narrow"/>
      </w:rPr>
    </w:pPr>
    <w:r>
      <w:rPr>
        <w:noProof/>
        <w:lang w:val="fo-FO" w:eastAsia="zh-TW" w:bidi="ar-SA"/>
      </w:rPr>
      <w:pict>
        <v:shapetype id="_x0000_t202" coordsize="21600,21600" o:spt="202" path="m,l,21600r21600,l21600,xe">
          <v:stroke joinstyle="miter"/>
          <v:path gradientshapeok="t" o:connecttype="rect"/>
        </v:shapetype>
        <v:shape id="_x0000_s2049" type="#_x0000_t202" style="position:absolute;left:0;text-align:left;margin-left:293.2pt;margin-top:54.4pt;width:201pt;height:60.75pt;z-index:251662336;mso-width-relative:margin;mso-height-relative:margin" fillcolor="white [3201]" stroked="f" strokecolor="black [3200]" strokeweight="1pt">
          <v:stroke dashstyle="dash"/>
          <v:shadow color="#868686"/>
          <v:textbox>
            <w:txbxContent>
              <w:p w:rsidR="00A47C91" w:rsidRDefault="002F025A" w:rsidP="001D1AEE">
                <w:pPr>
                  <w:jc w:val="right"/>
                </w:pPr>
                <w:r>
                  <w:rPr>
                    <w:noProof/>
                    <w:lang w:val="da-DK" w:eastAsia="da-DK" w:bidi="ar-SA"/>
                  </w:rPr>
                  <w:drawing>
                    <wp:inline distT="0" distB="0" distL="0" distR="0">
                      <wp:extent cx="2369820" cy="663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9820" cy="663886"/>
                              </a:xfrm>
                              <a:prstGeom prst="rect">
                                <a:avLst/>
                              </a:prstGeom>
                              <a:noFill/>
                              <a:ln w="9525">
                                <a:noFill/>
                                <a:miter lim="800000"/>
                                <a:headEnd/>
                                <a:tailEnd/>
                              </a:ln>
                            </pic:spPr>
                          </pic:pic>
                        </a:graphicData>
                      </a:graphic>
                    </wp:inline>
                  </w:drawing>
                </w:r>
              </w:p>
            </w:txbxContent>
          </v:textbox>
        </v:shape>
      </w:pict>
    </w:r>
    <w:r w:rsidR="00231497">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783"/>
    <w:multiLevelType w:val="multilevel"/>
    <w:tmpl w:val="0406001D"/>
    <w:lvl w:ilvl="0">
      <w:start w:val="1"/>
      <w:numFmt w:val="decimal"/>
      <w:lvlText w:val="%1)"/>
      <w:lvlJc w:val="left"/>
      <w:pPr>
        <w:ind w:left="720" w:hanging="360"/>
      </w:pPr>
      <w:rPr>
        <w:rFonts w:hint="default"/>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F597962"/>
    <w:multiLevelType w:val="hybridMultilevel"/>
    <w:tmpl w:val="44F01120"/>
    <w:lvl w:ilvl="0" w:tplc="23CA7C20">
      <w:start w:val="1"/>
      <w:numFmt w:val="decimal"/>
      <w:lvlText w:val="%1."/>
      <w:lvlJc w:val="left"/>
      <w:pPr>
        <w:ind w:left="1211" w:hanging="360"/>
      </w:pPr>
      <w:rPr>
        <w:lang w:val="da-DK"/>
      </w:rPr>
    </w:lvl>
    <w:lvl w:ilvl="1" w:tplc="04380019" w:tentative="1">
      <w:start w:val="1"/>
      <w:numFmt w:val="lowerLetter"/>
      <w:lvlText w:val="%2."/>
      <w:lvlJc w:val="left"/>
      <w:pPr>
        <w:ind w:left="1931" w:hanging="360"/>
      </w:pPr>
    </w:lvl>
    <w:lvl w:ilvl="2" w:tplc="0438001B" w:tentative="1">
      <w:start w:val="1"/>
      <w:numFmt w:val="lowerRoman"/>
      <w:lvlText w:val="%3."/>
      <w:lvlJc w:val="right"/>
      <w:pPr>
        <w:ind w:left="2651" w:hanging="180"/>
      </w:pPr>
    </w:lvl>
    <w:lvl w:ilvl="3" w:tplc="0438000F" w:tentative="1">
      <w:start w:val="1"/>
      <w:numFmt w:val="decimal"/>
      <w:lvlText w:val="%4."/>
      <w:lvlJc w:val="left"/>
      <w:pPr>
        <w:ind w:left="3371" w:hanging="360"/>
      </w:pPr>
    </w:lvl>
    <w:lvl w:ilvl="4" w:tplc="04380019" w:tentative="1">
      <w:start w:val="1"/>
      <w:numFmt w:val="lowerLetter"/>
      <w:lvlText w:val="%5."/>
      <w:lvlJc w:val="left"/>
      <w:pPr>
        <w:ind w:left="4091" w:hanging="360"/>
      </w:pPr>
    </w:lvl>
    <w:lvl w:ilvl="5" w:tplc="0438001B" w:tentative="1">
      <w:start w:val="1"/>
      <w:numFmt w:val="lowerRoman"/>
      <w:lvlText w:val="%6."/>
      <w:lvlJc w:val="right"/>
      <w:pPr>
        <w:ind w:left="4811" w:hanging="180"/>
      </w:pPr>
    </w:lvl>
    <w:lvl w:ilvl="6" w:tplc="0438000F" w:tentative="1">
      <w:start w:val="1"/>
      <w:numFmt w:val="decimal"/>
      <w:lvlText w:val="%7."/>
      <w:lvlJc w:val="left"/>
      <w:pPr>
        <w:ind w:left="5531" w:hanging="360"/>
      </w:pPr>
    </w:lvl>
    <w:lvl w:ilvl="7" w:tplc="04380019" w:tentative="1">
      <w:start w:val="1"/>
      <w:numFmt w:val="lowerLetter"/>
      <w:lvlText w:val="%8."/>
      <w:lvlJc w:val="left"/>
      <w:pPr>
        <w:ind w:left="6251" w:hanging="360"/>
      </w:pPr>
    </w:lvl>
    <w:lvl w:ilvl="8" w:tplc="0438001B" w:tentative="1">
      <w:start w:val="1"/>
      <w:numFmt w:val="lowerRoman"/>
      <w:lvlText w:val="%9."/>
      <w:lvlJc w:val="right"/>
      <w:pPr>
        <w:ind w:left="6971" w:hanging="180"/>
      </w:pPr>
    </w:lvl>
  </w:abstractNum>
  <w:abstractNum w:abstractNumId="2" w15:restartNumberingAfterBreak="0">
    <w:nsid w:val="651D511A"/>
    <w:multiLevelType w:val="hybridMultilevel"/>
    <w:tmpl w:val="4A2852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B111555"/>
    <w:multiLevelType w:val="hybridMultilevel"/>
    <w:tmpl w:val="C67AC09A"/>
    <w:lvl w:ilvl="0" w:tplc="3070A9CE">
      <w:numFmt w:val="bullet"/>
      <w:lvlText w:val=""/>
      <w:lvlJc w:val="left"/>
      <w:pPr>
        <w:ind w:left="720" w:hanging="360"/>
      </w:pPr>
      <w:rPr>
        <w:rFonts w:ascii="Symbol" w:eastAsiaTheme="minorEastAsia" w:hAnsi="Symbol" w:cs="Aria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7F2E59B7"/>
    <w:multiLevelType w:val="hybridMultilevel"/>
    <w:tmpl w:val="32C06508"/>
    <w:lvl w:ilvl="0" w:tplc="7714CE8A">
      <w:start w:val="1"/>
      <w:numFmt w:val="decimal"/>
      <w:pStyle w:val="Overskrift1"/>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C495F"/>
    <w:rsid w:val="00005446"/>
    <w:rsid w:val="00024731"/>
    <w:rsid w:val="000349E0"/>
    <w:rsid w:val="00036745"/>
    <w:rsid w:val="00054DD8"/>
    <w:rsid w:val="00063BA6"/>
    <w:rsid w:val="000B5EDE"/>
    <w:rsid w:val="000B6904"/>
    <w:rsid w:val="000C482A"/>
    <w:rsid w:val="000D2546"/>
    <w:rsid w:val="000E114C"/>
    <w:rsid w:val="00107382"/>
    <w:rsid w:val="00114786"/>
    <w:rsid w:val="0011615D"/>
    <w:rsid w:val="00126FD5"/>
    <w:rsid w:val="00131E4E"/>
    <w:rsid w:val="001347AA"/>
    <w:rsid w:val="001349DE"/>
    <w:rsid w:val="0014112B"/>
    <w:rsid w:val="00152946"/>
    <w:rsid w:val="00161F28"/>
    <w:rsid w:val="00167B8A"/>
    <w:rsid w:val="00177A1A"/>
    <w:rsid w:val="0018268B"/>
    <w:rsid w:val="00190EE5"/>
    <w:rsid w:val="001B7C58"/>
    <w:rsid w:val="001D1AEE"/>
    <w:rsid w:val="001D4BB8"/>
    <w:rsid w:val="001F2F85"/>
    <w:rsid w:val="00202221"/>
    <w:rsid w:val="00212B86"/>
    <w:rsid w:val="002161E7"/>
    <w:rsid w:val="00231497"/>
    <w:rsid w:val="00242D1D"/>
    <w:rsid w:val="00243159"/>
    <w:rsid w:val="002513C2"/>
    <w:rsid w:val="0028669D"/>
    <w:rsid w:val="00287344"/>
    <w:rsid w:val="002A5B95"/>
    <w:rsid w:val="002C7E81"/>
    <w:rsid w:val="002E31EE"/>
    <w:rsid w:val="002F025A"/>
    <w:rsid w:val="002F4BED"/>
    <w:rsid w:val="00313358"/>
    <w:rsid w:val="00317CEE"/>
    <w:rsid w:val="00333893"/>
    <w:rsid w:val="003338F6"/>
    <w:rsid w:val="00356E47"/>
    <w:rsid w:val="003630FE"/>
    <w:rsid w:val="0039347B"/>
    <w:rsid w:val="00395148"/>
    <w:rsid w:val="003968B9"/>
    <w:rsid w:val="003A13A0"/>
    <w:rsid w:val="003C5AF1"/>
    <w:rsid w:val="003D2DA3"/>
    <w:rsid w:val="003D3534"/>
    <w:rsid w:val="003E342E"/>
    <w:rsid w:val="004125CB"/>
    <w:rsid w:val="00421DAD"/>
    <w:rsid w:val="0042552B"/>
    <w:rsid w:val="00445006"/>
    <w:rsid w:val="00460FBE"/>
    <w:rsid w:val="004653E3"/>
    <w:rsid w:val="0048217A"/>
    <w:rsid w:val="004A2C14"/>
    <w:rsid w:val="004B5109"/>
    <w:rsid w:val="004B5E01"/>
    <w:rsid w:val="004D0819"/>
    <w:rsid w:val="004D3EC6"/>
    <w:rsid w:val="004E581B"/>
    <w:rsid w:val="004E6206"/>
    <w:rsid w:val="00520C85"/>
    <w:rsid w:val="005234D1"/>
    <w:rsid w:val="00530444"/>
    <w:rsid w:val="00537E16"/>
    <w:rsid w:val="0054446A"/>
    <w:rsid w:val="00552E8A"/>
    <w:rsid w:val="005615F6"/>
    <w:rsid w:val="005748A9"/>
    <w:rsid w:val="0057562D"/>
    <w:rsid w:val="005774FA"/>
    <w:rsid w:val="005806FA"/>
    <w:rsid w:val="005809EF"/>
    <w:rsid w:val="005A6A46"/>
    <w:rsid w:val="005B7022"/>
    <w:rsid w:val="005C189F"/>
    <w:rsid w:val="005D450D"/>
    <w:rsid w:val="005E5B64"/>
    <w:rsid w:val="00612EEA"/>
    <w:rsid w:val="00663D6F"/>
    <w:rsid w:val="00667950"/>
    <w:rsid w:val="0067692B"/>
    <w:rsid w:val="00691382"/>
    <w:rsid w:val="00692E17"/>
    <w:rsid w:val="00697705"/>
    <w:rsid w:val="006A47E4"/>
    <w:rsid w:val="006B2F8B"/>
    <w:rsid w:val="006B4156"/>
    <w:rsid w:val="006F4FC4"/>
    <w:rsid w:val="006F51BD"/>
    <w:rsid w:val="00701945"/>
    <w:rsid w:val="00720BC7"/>
    <w:rsid w:val="007462F0"/>
    <w:rsid w:val="00750033"/>
    <w:rsid w:val="00755A41"/>
    <w:rsid w:val="00777A2C"/>
    <w:rsid w:val="007977EE"/>
    <w:rsid w:val="007B191B"/>
    <w:rsid w:val="007B3805"/>
    <w:rsid w:val="007B585F"/>
    <w:rsid w:val="007B6A0F"/>
    <w:rsid w:val="007B7192"/>
    <w:rsid w:val="007B7C76"/>
    <w:rsid w:val="007C2356"/>
    <w:rsid w:val="007C28FC"/>
    <w:rsid w:val="007D5C40"/>
    <w:rsid w:val="007D6F21"/>
    <w:rsid w:val="007F0644"/>
    <w:rsid w:val="008545D2"/>
    <w:rsid w:val="008576DF"/>
    <w:rsid w:val="0087300A"/>
    <w:rsid w:val="008853DB"/>
    <w:rsid w:val="008B714E"/>
    <w:rsid w:val="008C2304"/>
    <w:rsid w:val="008C6DAF"/>
    <w:rsid w:val="008F17FA"/>
    <w:rsid w:val="00904663"/>
    <w:rsid w:val="00912202"/>
    <w:rsid w:val="00912B60"/>
    <w:rsid w:val="0092129F"/>
    <w:rsid w:val="009516EA"/>
    <w:rsid w:val="00952531"/>
    <w:rsid w:val="009716DF"/>
    <w:rsid w:val="00984497"/>
    <w:rsid w:val="009C71BB"/>
    <w:rsid w:val="009D2D99"/>
    <w:rsid w:val="009D76CC"/>
    <w:rsid w:val="00A2643D"/>
    <w:rsid w:val="00A32F81"/>
    <w:rsid w:val="00A33E61"/>
    <w:rsid w:val="00A4218C"/>
    <w:rsid w:val="00A47C91"/>
    <w:rsid w:val="00A61F0B"/>
    <w:rsid w:val="00A7453C"/>
    <w:rsid w:val="00A876B4"/>
    <w:rsid w:val="00AA1D1D"/>
    <w:rsid w:val="00AA4BF7"/>
    <w:rsid w:val="00AB1180"/>
    <w:rsid w:val="00AB43C2"/>
    <w:rsid w:val="00AB496B"/>
    <w:rsid w:val="00AC12F8"/>
    <w:rsid w:val="00AD20D9"/>
    <w:rsid w:val="00AD4B50"/>
    <w:rsid w:val="00AE3B0C"/>
    <w:rsid w:val="00B15600"/>
    <w:rsid w:val="00B23D76"/>
    <w:rsid w:val="00B25405"/>
    <w:rsid w:val="00B41E6D"/>
    <w:rsid w:val="00B45109"/>
    <w:rsid w:val="00B51204"/>
    <w:rsid w:val="00B562AD"/>
    <w:rsid w:val="00B704FD"/>
    <w:rsid w:val="00B75EE4"/>
    <w:rsid w:val="00B8339E"/>
    <w:rsid w:val="00B94511"/>
    <w:rsid w:val="00B949DC"/>
    <w:rsid w:val="00BA13F2"/>
    <w:rsid w:val="00BA6ADE"/>
    <w:rsid w:val="00BB645C"/>
    <w:rsid w:val="00BC2799"/>
    <w:rsid w:val="00BD1183"/>
    <w:rsid w:val="00BD2D32"/>
    <w:rsid w:val="00BD3DA9"/>
    <w:rsid w:val="00C1714F"/>
    <w:rsid w:val="00C362DB"/>
    <w:rsid w:val="00C4013F"/>
    <w:rsid w:val="00C40D8A"/>
    <w:rsid w:val="00C673AB"/>
    <w:rsid w:val="00C81087"/>
    <w:rsid w:val="00CA0436"/>
    <w:rsid w:val="00CA4716"/>
    <w:rsid w:val="00CA61CA"/>
    <w:rsid w:val="00CA6344"/>
    <w:rsid w:val="00CA6F54"/>
    <w:rsid w:val="00CB23C4"/>
    <w:rsid w:val="00CB2C7F"/>
    <w:rsid w:val="00CB5A0C"/>
    <w:rsid w:val="00CD195E"/>
    <w:rsid w:val="00CE2A95"/>
    <w:rsid w:val="00D16449"/>
    <w:rsid w:val="00D246F4"/>
    <w:rsid w:val="00D31492"/>
    <w:rsid w:val="00D35801"/>
    <w:rsid w:val="00D42845"/>
    <w:rsid w:val="00D579D2"/>
    <w:rsid w:val="00D75158"/>
    <w:rsid w:val="00D848EB"/>
    <w:rsid w:val="00DA1C4A"/>
    <w:rsid w:val="00DA20D7"/>
    <w:rsid w:val="00DC520B"/>
    <w:rsid w:val="00DE130C"/>
    <w:rsid w:val="00DE5DBD"/>
    <w:rsid w:val="00DF61BD"/>
    <w:rsid w:val="00E10315"/>
    <w:rsid w:val="00E12AAA"/>
    <w:rsid w:val="00E2246D"/>
    <w:rsid w:val="00E32388"/>
    <w:rsid w:val="00E4039C"/>
    <w:rsid w:val="00E419B1"/>
    <w:rsid w:val="00E43194"/>
    <w:rsid w:val="00E55A03"/>
    <w:rsid w:val="00E81C74"/>
    <w:rsid w:val="00E86844"/>
    <w:rsid w:val="00EA2E2D"/>
    <w:rsid w:val="00EA44F4"/>
    <w:rsid w:val="00EC4796"/>
    <w:rsid w:val="00EC495F"/>
    <w:rsid w:val="00EC7936"/>
    <w:rsid w:val="00ED2AB3"/>
    <w:rsid w:val="00EE1FAB"/>
    <w:rsid w:val="00F068E0"/>
    <w:rsid w:val="00F53348"/>
    <w:rsid w:val="00F65F26"/>
    <w:rsid w:val="00F7309B"/>
    <w:rsid w:val="00F813F9"/>
    <w:rsid w:val="00F8253C"/>
    <w:rsid w:val="00FA1FCF"/>
    <w:rsid w:val="00FA6509"/>
    <w:rsid w:val="00FC5AD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96C1CA0-4BAB-4CCF-B874-23CAF30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autoRedefine/>
    <w:uiPriority w:val="9"/>
    <w:qFormat/>
    <w:rsid w:val="00D579D2"/>
    <w:pPr>
      <w:keepNext/>
      <w:numPr>
        <w:numId w:val="5"/>
      </w:numPr>
      <w:spacing w:before="240" w:after="60"/>
      <w:outlineLvl w:val="0"/>
    </w:pPr>
    <w:rPr>
      <w:rFonts w:ascii="Arial" w:eastAsia="Times New Roman" w:hAnsi="Arial" w:cstheme="majorBidi"/>
      <w:b/>
      <w:bCs/>
      <w:kern w:val="32"/>
      <w:sz w:val="20"/>
      <w:szCs w:val="20"/>
      <w:lang w:val="fo-FO"/>
    </w:rPr>
  </w:style>
  <w:style w:type="paragraph" w:styleId="Overskrift2">
    <w:name w:val="heading 2"/>
    <w:basedOn w:val="Normal"/>
    <w:next w:val="Normal"/>
    <w:link w:val="Overskrift2Tegn"/>
    <w:autoRedefine/>
    <w:uiPriority w:val="9"/>
    <w:unhideWhenUsed/>
    <w:qFormat/>
    <w:rsid w:val="00D579D2"/>
    <w:pPr>
      <w:keepNext/>
      <w:spacing w:before="240" w:after="60"/>
      <w:outlineLvl w:val="1"/>
    </w:pPr>
    <w:rPr>
      <w:rFonts w:ascii="Arial" w:eastAsiaTheme="majorEastAsia" w:hAnsi="Arial"/>
      <w:b/>
      <w:bCs/>
      <w:i/>
      <w:iCs/>
      <w:sz w:val="20"/>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D579D2"/>
    <w:rPr>
      <w:rFonts w:ascii="Arial" w:eastAsia="Times New Roman" w:hAnsi="Arial" w:cstheme="majorBidi"/>
      <w:b/>
      <w:bCs/>
      <w:kern w:val="32"/>
      <w:sz w:val="20"/>
      <w:szCs w:val="20"/>
      <w:lang w:val="fo-FO"/>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nhideWhenUsed/>
    <w:rsid w:val="00CD195E"/>
    <w:pPr>
      <w:tabs>
        <w:tab w:val="center" w:pos="4513"/>
        <w:tab w:val="right" w:pos="9026"/>
      </w:tabs>
    </w:pPr>
  </w:style>
  <w:style w:type="character" w:customStyle="1" w:styleId="SidefodTegn">
    <w:name w:val="Sidefod Tegn"/>
    <w:basedOn w:val="Standardskrifttypeiafsnit"/>
    <w:link w:val="Sidefod"/>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rsid w:val="00D579D2"/>
    <w:rPr>
      <w:rFonts w:ascii="Arial" w:eastAsiaTheme="majorEastAsia" w:hAnsi="Arial"/>
      <w:b/>
      <w:bCs/>
      <w:i/>
      <w:iCs/>
      <w:sz w:val="20"/>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vs-app.fak.far.local\docprod_VS\templates\TRskabelonFLUTT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90139B739449CA4AF4FAD9A1043D2"/>
        <w:category>
          <w:name w:val="General"/>
          <w:gallery w:val="placeholder"/>
        </w:category>
        <w:types>
          <w:type w:val="bbPlcHdr"/>
        </w:types>
        <w:behaviors>
          <w:behavior w:val="content"/>
        </w:behaviors>
        <w:guid w:val="{7CEC22BB-ACDF-4DDE-A778-54BE17C53827}"/>
      </w:docPartPr>
      <w:docPartBody>
        <w:p w:rsidR="008E4084" w:rsidRDefault="00805986">
          <w:pPr>
            <w:pStyle w:val="77690139B739449CA4AF4FAD9A1043D2"/>
          </w:pPr>
          <w:r w:rsidRPr="00BD3DA9">
            <w:rPr>
              <w:rStyle w:val="Pladsholdertekst"/>
              <w:b/>
              <w:color w:val="auto"/>
            </w:rPr>
            <w:t>Click here to enter text.</w:t>
          </w:r>
        </w:p>
      </w:docPartBody>
    </w:docPart>
    <w:docPart>
      <w:docPartPr>
        <w:name w:val="46CAC21E8D4046E1A8F1B052C953C969"/>
        <w:category>
          <w:name w:val="General"/>
          <w:gallery w:val="placeholder"/>
        </w:category>
        <w:types>
          <w:type w:val="bbPlcHdr"/>
        </w:types>
        <w:behaviors>
          <w:behavior w:val="content"/>
        </w:behaviors>
        <w:guid w:val="{C7FBD113-4DB3-4E40-99A9-92510AC1981E}"/>
      </w:docPartPr>
      <w:docPartBody>
        <w:p w:rsidR="008E4084" w:rsidRDefault="00805986">
          <w:pPr>
            <w:pStyle w:val="46CAC21E8D4046E1A8F1B052C953C969"/>
          </w:pPr>
          <w:r w:rsidRPr="00BD3DA9">
            <w:rPr>
              <w:rStyle w:val="Pladsholdertekst"/>
              <w:b/>
              <w:color w:val="auto"/>
            </w:rPr>
            <w:t>Click here to enter text.</w:t>
          </w:r>
        </w:p>
      </w:docPartBody>
    </w:docPart>
    <w:docPart>
      <w:docPartPr>
        <w:name w:val="11D8BE0485C441FE9CC60EDD3D7464FF"/>
        <w:category>
          <w:name w:val="General"/>
          <w:gallery w:val="placeholder"/>
        </w:category>
        <w:types>
          <w:type w:val="bbPlcHdr"/>
        </w:types>
        <w:behaviors>
          <w:behavior w:val="content"/>
        </w:behaviors>
        <w:guid w:val="{22BC5267-C825-4F98-B4D4-8BF328884075}"/>
      </w:docPartPr>
      <w:docPartBody>
        <w:p w:rsidR="008E4084" w:rsidRDefault="00805986">
          <w:pPr>
            <w:pStyle w:val="11D8BE0485C441FE9CC60EDD3D7464FF"/>
          </w:pPr>
          <w:r w:rsidRPr="00BD3DA9">
            <w:t>Click here to enter text.</w:t>
          </w:r>
        </w:p>
      </w:docPartBody>
    </w:docPart>
    <w:docPart>
      <w:docPartPr>
        <w:name w:val="12493FF6D97C46DEA87B18359E7E4C5D"/>
        <w:category>
          <w:name w:val="General"/>
          <w:gallery w:val="placeholder"/>
        </w:category>
        <w:types>
          <w:type w:val="bbPlcHdr"/>
        </w:types>
        <w:behaviors>
          <w:behavior w:val="content"/>
        </w:behaviors>
        <w:guid w:val="{B42FC548-69A6-4319-A068-7953D8D4A33C}"/>
      </w:docPartPr>
      <w:docPartBody>
        <w:p w:rsidR="008E4084" w:rsidRDefault="00805986">
          <w:pPr>
            <w:pStyle w:val="12493FF6D97C46DEA87B18359E7E4C5D"/>
          </w:pPr>
          <w:r w:rsidRPr="00040BF7">
            <w:rPr>
              <w:rStyle w:val="Pladsholdertekst"/>
            </w:rPr>
            <w:t>Click here to enter text.</w:t>
          </w:r>
        </w:p>
      </w:docPartBody>
    </w:docPart>
    <w:docPart>
      <w:docPartPr>
        <w:name w:val="F88EAF9D628840D59B5A5EE9AA34A449"/>
        <w:category>
          <w:name w:val="General"/>
          <w:gallery w:val="placeholder"/>
        </w:category>
        <w:types>
          <w:type w:val="bbPlcHdr"/>
        </w:types>
        <w:behaviors>
          <w:behavior w:val="content"/>
        </w:behaviors>
        <w:guid w:val="{9D457A37-B29D-4531-AE38-27920940DAF2}"/>
      </w:docPartPr>
      <w:docPartBody>
        <w:p w:rsidR="008E4084" w:rsidRDefault="00805986">
          <w:pPr>
            <w:pStyle w:val="F88EAF9D628840D59B5A5EE9AA34A449"/>
          </w:pPr>
          <w:r w:rsidRPr="00BD3DA9">
            <w:rPr>
              <w:rStyle w:val="Pladsholdertekst"/>
            </w:rPr>
            <w:t>Click here to enter a date.</w:t>
          </w:r>
        </w:p>
      </w:docPartBody>
    </w:docPart>
    <w:docPart>
      <w:docPartPr>
        <w:name w:val="B225AC233938406A9971EEC654B00C70"/>
        <w:category>
          <w:name w:val="General"/>
          <w:gallery w:val="placeholder"/>
        </w:category>
        <w:types>
          <w:type w:val="bbPlcHdr"/>
        </w:types>
        <w:behaviors>
          <w:behavior w:val="content"/>
        </w:behaviors>
        <w:guid w:val="{E4EBBC99-240B-49C5-9A6D-D1C859D6B802}"/>
      </w:docPartPr>
      <w:docPartBody>
        <w:p w:rsidR="008E4084" w:rsidRDefault="00805986">
          <w:pPr>
            <w:pStyle w:val="B225AC233938406A9971EEC654B00C70"/>
          </w:pPr>
          <w:r w:rsidRPr="005234D1">
            <w:rPr>
              <w:rStyle w:val="Pladsholdertekst"/>
              <w:color w:val="auto"/>
              <w:lang w:val="en-GB"/>
            </w:rPr>
            <w:t>Click here to enter text.</w:t>
          </w:r>
        </w:p>
      </w:docPartBody>
    </w:docPart>
    <w:docPart>
      <w:docPartPr>
        <w:name w:val="B66121785D934616995708FDB71ED3BC"/>
        <w:category>
          <w:name w:val="General"/>
          <w:gallery w:val="placeholder"/>
        </w:category>
        <w:types>
          <w:type w:val="bbPlcHdr"/>
        </w:types>
        <w:behaviors>
          <w:behavior w:val="content"/>
        </w:behaviors>
        <w:guid w:val="{9A5810FB-FCA9-4F4B-A777-AA73D4884C65}"/>
      </w:docPartPr>
      <w:docPartBody>
        <w:p w:rsidR="008E4084" w:rsidRDefault="00805986">
          <w:pPr>
            <w:pStyle w:val="B66121785D934616995708FDB71ED3BC"/>
          </w:pPr>
          <w:r w:rsidRPr="00BD3DA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05986"/>
    <w:rsid w:val="00681D24"/>
    <w:rsid w:val="006A2BAA"/>
    <w:rsid w:val="00805986"/>
    <w:rsid w:val="00841541"/>
    <w:rsid w:val="008E4084"/>
    <w:rsid w:val="00C55601"/>
    <w:rsid w:val="00EA643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E4084"/>
    <w:rPr>
      <w:color w:val="808080"/>
    </w:rPr>
  </w:style>
  <w:style w:type="paragraph" w:customStyle="1" w:styleId="77690139B739449CA4AF4FAD9A1043D2">
    <w:name w:val="77690139B739449CA4AF4FAD9A1043D2"/>
    <w:rsid w:val="008E4084"/>
  </w:style>
  <w:style w:type="paragraph" w:customStyle="1" w:styleId="46CAC21E8D4046E1A8F1B052C953C969">
    <w:name w:val="46CAC21E8D4046E1A8F1B052C953C969"/>
    <w:rsid w:val="008E4084"/>
  </w:style>
  <w:style w:type="paragraph" w:customStyle="1" w:styleId="11D8BE0485C441FE9CC60EDD3D7464FF">
    <w:name w:val="11D8BE0485C441FE9CC60EDD3D7464FF"/>
    <w:rsid w:val="008E4084"/>
  </w:style>
  <w:style w:type="paragraph" w:customStyle="1" w:styleId="12493FF6D97C46DEA87B18359E7E4C5D">
    <w:name w:val="12493FF6D97C46DEA87B18359E7E4C5D"/>
    <w:rsid w:val="008E4084"/>
  </w:style>
  <w:style w:type="paragraph" w:customStyle="1" w:styleId="F88EAF9D628840D59B5A5EE9AA34A449">
    <w:name w:val="F88EAF9D628840D59B5A5EE9AA34A449"/>
    <w:rsid w:val="008E4084"/>
  </w:style>
  <w:style w:type="paragraph" w:customStyle="1" w:styleId="B225AC233938406A9971EEC654B00C70">
    <w:name w:val="B225AC233938406A9971EEC654B00C70"/>
    <w:rsid w:val="008E4084"/>
  </w:style>
  <w:style w:type="paragraph" w:customStyle="1" w:styleId="B66121785D934616995708FDB71ED3BC">
    <w:name w:val="B66121785D934616995708FDB71ED3BC"/>
    <w:rsid w:val="008E4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36156"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15/00118-35</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Notat om efterfølgende ændringer i udkast til anmeldelsesbekendtgørelsen</gbs:Title>
  <gbs:ToActivityContactJOINEX.Name gbs:loadFromGrowBusiness="OnEdit" gbs:entity="ActivityContact" gbs:recno="" gbs:saveInGrowBusiness="False" gbs:connected="true" gbs:key="10007" gbs:joinex="[JOINEX=[ToRole] {!OJEX!}=5]">Tryggingareftirlitið</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2018-05-14T00:00:00</gbs:DocumentDate>
  <gbs:OurRef.Name gbs:loadFromGrowBusiness="OnProduce" gbs:saveInGrowBusiness="False" gbs:connected="true" gbs:recno="" gbs:entity="" gbs:datatype="string" gbs:key="10010">Gudmundur Effersøe Nónstein</gbs:OurRef.Name>
  <gbs:ReferenceNo gbs:loadFromGrowBusiness="OnProduce" gbs:saveInGrowBusiness="False" gbs:connected="true" gbs:recno="" gbs:entity="" gbs:datatype="string" gbs:key="10011">
  </gbs:ReferenceNo>
  <gbs:Title gbs:loadFromGrowBusiness="OnProduce" gbs:saveInGrowBusiness="False" gbs:connected="true" gbs:recno="" gbs:entity="" gbs:datatype="string" gbs:key="10012">Notat om efterfølgende ændringer i udkast til anmeldelsesbekendtgørelsen</gbs:Title>
  <gbs:ToActivityContact.ToAddress.Country.Description gbs:loadFromGrowBusiness="OnProduce" gbs:saveInGrowBusiness="False" gbs:connected="true" gbs:recno="" gbs:entity="" gbs:datatype="string" gbs:key="10013">
  </gbs:ToActivityContact.ToAddress.Country.Description>
  <gbs:Title gbs:loadFromGrowBusiness="OnProduce" gbs:saveInGrowBusiness="False" gbs:connected="true" gbs:recno="" gbs:entity="" gbs:datatype="string" gbs:key="10014">Notat om efterfølgende ændringer i udkast til anmeldelsesbekendtgørelse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5EB8-DD50-4B60-B751-C326F0704801}">
  <ds:schemaRefs>
    <ds:schemaRef ds:uri="http://www.software-innovation.no/growBusinessDocument"/>
  </ds:schemaRefs>
</ds:datastoreItem>
</file>

<file path=customXml/itemProps2.xml><?xml version="1.0" encoding="utf-8"?>
<ds:datastoreItem xmlns:ds="http://schemas.openxmlformats.org/officeDocument/2006/customXml" ds:itemID="{D88010BC-684F-4CEC-BDB4-DCE227FD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TRskabelonFLUTTN</Template>
  <TotalTime>1</TotalTime>
  <Pages>3</Pages>
  <Words>1022</Words>
  <Characters>6239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Gudmundur Effersøe Nónstein</dc:creator>
  <cp:lastModifiedBy>Gudmundur Nónstein</cp:lastModifiedBy>
  <cp:revision>3</cp:revision>
  <cp:lastPrinted>2018-04-13T13:42:00Z</cp:lastPrinted>
  <dcterms:created xsi:type="dcterms:W3CDTF">2018-05-14T13:05:00Z</dcterms:created>
  <dcterms:modified xsi:type="dcterms:W3CDTF">2018-05-14T13:06:00Z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\\fak-vs-app.fak.far.local\docprod_VS\templates\TRskabelonFLUTTN.dotx</vt:lpwstr>
  </property>
  <property fmtid="{D5CDD505-2E9C-101B-9397-08002B2CF9AE}" pid="3" name="filePathOneNote">
    <vt:lpwstr>\\fak-vs-app.fak.far.local\360users_VS\onenote\landsnet\ln44089\</vt:lpwstr>
  </property>
  <property fmtid="{D5CDD505-2E9C-101B-9397-08002B2CF9AE}" pid="4" name="comment">
    <vt:lpwstr>Notat om efterfølgende ændringer i udkast til anmeldelsesbekendtgørelsen</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docId">
    <vt:lpwstr>236156</vt:lpwstr>
  </property>
  <property fmtid="{D5CDD505-2E9C-101B-9397-08002B2CF9AE}" pid="13" name="templateId">
    <vt:lpwstr>
    </vt:lpwstr>
  </property>
  <property fmtid="{D5CDD505-2E9C-101B-9397-08002B2CF9AE}" pid="14" name="createdBy">
    <vt:lpwstr>Gudmundur Effersøe Nónstein</vt:lpwstr>
  </property>
  <property fmtid="{D5CDD505-2E9C-101B-9397-08002B2CF9AE}" pid="15" name="modifiedBy">
    <vt:lpwstr>Gudmundur Effersøe Nónstein</vt:lpwstr>
  </property>
  <property fmtid="{D5CDD505-2E9C-101B-9397-08002B2CF9AE}" pid="16" name="serverName">
    <vt:lpwstr>fak-vs-app.fak.far.local</vt:lpwstr>
  </property>
  <property fmtid="{D5CDD505-2E9C-101B-9397-08002B2CF9AE}" pid="17" name="externalUser">
    <vt:lpwstr>
    </vt:lpwstr>
  </property>
  <property fmtid="{D5CDD505-2E9C-101B-9397-08002B2CF9AE}" pid="18" name="currentVerId">
    <vt:lpwstr>236116</vt:lpwstr>
  </property>
  <property fmtid="{D5CDD505-2E9C-101B-9397-08002B2CF9AE}" pid="19" name="Operation">
    <vt:lpwstr>OpenFile</vt:lpwstr>
  </property>
  <property fmtid="{D5CDD505-2E9C-101B-9397-08002B2CF9AE}" pid="20" name="BackOfficeType">
    <vt:lpwstr>growBusiness Solutions</vt:lpwstr>
  </property>
  <property fmtid="{D5CDD505-2E9C-101B-9397-08002B2CF9AE}" pid="21" name="Server">
    <vt:lpwstr>fak-vs-app.fak.far.local</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276789</vt:lpwstr>
  </property>
  <property fmtid="{D5CDD505-2E9C-101B-9397-08002B2CF9AE}" pid="25" name="VerID">
    <vt:lpwstr>0</vt:lpwstr>
  </property>
  <property fmtid="{D5CDD505-2E9C-101B-9397-08002B2CF9AE}" pid="26" name="FilePath">
    <vt:lpwstr>\\fak-vs-app.fak.far.local\360users_VS\work\landsnet\ln44089</vt:lpwstr>
  </property>
  <property fmtid="{D5CDD505-2E9C-101B-9397-08002B2CF9AE}" pid="27" name="FileName">
    <vt:lpwstr>15-00118-35 Notat om efterfølgende ændringer i udkast til anmeldelsesbekendtgørelse 276789_236116_0.DOCX</vt:lpwstr>
  </property>
  <property fmtid="{D5CDD505-2E9C-101B-9397-08002B2CF9AE}" pid="28" name="FullFileName">
    <vt:lpwstr>\\fak-vs-app.fak.far.local\360users_VS\work\landsnet\ln44089\15-00118-35 Notat om efterfølgende ændringer i udkast til anmeldelsesbekendtgørelse 276789_236116_0.DOCX</vt:lpwstr>
  </property>
</Properties>
</file>