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05" w:rsidRDefault="007B3805">
      <w:r>
        <w:t xml:space="preserve"> </w:t>
      </w: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29"/>
        <w:gridCol w:w="3260"/>
      </w:tblGrid>
      <w:tr w:rsidR="00317CEE" w:rsidRPr="00A33E61" w:rsidTr="00231497">
        <w:trPr>
          <w:trHeight w:val="986"/>
        </w:trPr>
        <w:tc>
          <w:tcPr>
            <w:tcW w:w="6629" w:type="dxa"/>
          </w:tcPr>
          <w:p w:rsidR="00317CEE" w:rsidRPr="00B704FD" w:rsidRDefault="0051353F" w:rsidP="00F65F26">
            <w:pPr>
              <w:rPr>
                <w:rStyle w:val="AdressuUppl"/>
                <w:rFonts w:ascii="Arial" w:hAnsi="Arial" w:cs="Arial"/>
                <w:sz w:val="18"/>
                <w:szCs w:val="18"/>
                <w:lang w:val="fo-FO"/>
              </w:rPr>
            </w:pPr>
            <w:sdt>
              <w:sdtPr>
                <w:rPr>
                  <w:rStyle w:val="AdressuUppl"/>
                  <w:rFonts w:ascii="Arial" w:hAnsi="Arial" w:cs="Arial"/>
                  <w:sz w:val="18"/>
                  <w:szCs w:val="18"/>
                  <w:lang w:val="fo-FO"/>
                </w:rPr>
                <w:alias w:val="Navn"/>
                <w:tag w:val="ToActivityContact.Name"/>
                <w:id w:val="10000"/>
                <w:placeholder>
                  <w:docPart w:val="77690139B739449CA4AF4FAD9A1043D2"/>
                </w:placeholder>
                <w:dataBinding w:prefixMappings="xmlns:gbs='http://www.software-innovation.no/growBusinessDocument'" w:xpath="/gbs:GrowBusinessDocument/gbs:ToActivityContactJOINEX.Name[@gbs:key='10000']" w:storeItemID="{A71D5EB8-DD50-4B60-B751-C326F0704801}"/>
                <w:text/>
              </w:sdtPr>
              <w:sdtEndPr>
                <w:rPr>
                  <w:rStyle w:val="AdressuUppl"/>
                </w:rPr>
              </w:sdtEndPr>
              <w:sdtContent>
                <w:r w:rsidR="001E2B05">
                  <w:rPr>
                    <w:rStyle w:val="AdressuUppl"/>
                    <w:rFonts w:ascii="Arial" w:hAnsi="Arial" w:cs="Arial"/>
                    <w:sz w:val="18"/>
                    <w:szCs w:val="18"/>
                    <w:lang w:val="fo-FO"/>
                  </w:rPr>
                  <w:t xml:space="preserve">  </w:t>
                </w:r>
              </w:sdtContent>
            </w:sdt>
          </w:p>
          <w:p w:rsidR="00317CEE" w:rsidRPr="00B704FD" w:rsidRDefault="0051353F" w:rsidP="00F65F26">
            <w:pPr>
              <w:rPr>
                <w:rStyle w:val="AdressuUppl"/>
                <w:rFonts w:ascii="Arial" w:hAnsi="Arial" w:cs="Arial"/>
                <w:sz w:val="18"/>
                <w:szCs w:val="18"/>
                <w:lang w:val="fo-FO"/>
              </w:rPr>
            </w:pPr>
            <w:sdt>
              <w:sdtPr>
                <w:rPr>
                  <w:rStyle w:val="AdressuUppl"/>
                  <w:rFonts w:ascii="Arial" w:hAnsi="Arial" w:cs="Arial"/>
                  <w:sz w:val="18"/>
                  <w:szCs w:val="18"/>
                  <w:lang w:val="fo-FO"/>
                </w:rPr>
                <w:alias w:val="Adresse"/>
                <w:tag w:val="ToActivityContact.Address"/>
                <w:id w:val="10001"/>
                <w:placeholder>
                  <w:docPart w:val="46CAC21E8D4046E1A8F1B052C953C969"/>
                </w:placeholder>
                <w:dataBinding w:prefixMappings="xmlns:gbs='http://www.software-innovation.no/growBusinessDocument'" w:xpath="/gbs:GrowBusinessDocument/gbs:ToActivityContactJOINEX.Address[@gbs:key='10001']" w:storeItemID="{A71D5EB8-DD50-4B60-B751-C326F0704801}"/>
                <w:text w:multiLine="1"/>
              </w:sdtPr>
              <w:sdtEndPr>
                <w:rPr>
                  <w:rStyle w:val="AdressuUppl"/>
                </w:rPr>
              </w:sdtEndPr>
              <w:sdtContent>
                <w:r w:rsidR="001E2B05">
                  <w:rPr>
                    <w:rStyle w:val="AdressuUppl"/>
                    <w:rFonts w:ascii="Arial" w:hAnsi="Arial" w:cs="Arial"/>
                    <w:sz w:val="18"/>
                    <w:szCs w:val="18"/>
                    <w:lang w:val="fo-FO"/>
                  </w:rPr>
                  <w:br/>
                  <w:t xml:space="preserve">  </w:t>
                </w:r>
              </w:sdtContent>
            </w:sdt>
          </w:p>
          <w:p w:rsidR="00317CEE" w:rsidRPr="00B704FD" w:rsidRDefault="0051353F" w:rsidP="00F65F26">
            <w:pPr>
              <w:rPr>
                <w:rStyle w:val="AdressuUppl"/>
                <w:rFonts w:ascii="Arial" w:hAnsi="Arial" w:cs="Arial"/>
                <w:sz w:val="18"/>
                <w:szCs w:val="18"/>
                <w:lang w:val="fo-FO"/>
              </w:rPr>
            </w:pPr>
            <w:sdt>
              <w:sdtPr>
                <w:rPr>
                  <w:rStyle w:val="AdressuUppl"/>
                  <w:rFonts w:ascii="Arial" w:hAnsi="Arial" w:cs="Arial"/>
                  <w:sz w:val="18"/>
                  <w:szCs w:val="18"/>
                  <w:lang w:val="fo-FO"/>
                </w:rPr>
                <w:alias w:val="Postnummer/sted"/>
                <w:tag w:val="ToActivityContact.Zip"/>
                <w:id w:val="10002"/>
                <w:placeholder>
                  <w:docPart w:val="11D8BE0485C441FE9CC60EDD3D7464FF"/>
                </w:placeholder>
                <w:dataBinding w:prefixMappings="xmlns:gbs='http://www.software-innovation.no/growBusinessDocument'" w:xpath="/gbs:GrowBusinessDocument/gbs:ToActivityContactJOINEX.Zip[@gbs:key='10002']" w:storeItemID="{A71D5EB8-DD50-4B60-B751-C326F0704801}"/>
                <w:text/>
              </w:sdtPr>
              <w:sdtEndPr>
                <w:rPr>
                  <w:rStyle w:val="AdressuUppl"/>
                </w:rPr>
              </w:sdtEndPr>
              <w:sdtContent>
                <w:r w:rsidR="001E2B05">
                  <w:rPr>
                    <w:rStyle w:val="AdressuUppl"/>
                    <w:rFonts w:ascii="Arial" w:hAnsi="Arial" w:cs="Arial"/>
                    <w:sz w:val="18"/>
                    <w:szCs w:val="18"/>
                    <w:lang w:val="fo-FO"/>
                  </w:rPr>
                  <w:t xml:space="preserve">  </w:t>
                </w:r>
              </w:sdtContent>
            </w:sdt>
          </w:p>
          <w:sdt>
            <w:sdtPr>
              <w:rPr>
                <w:rStyle w:val="AdressuUppl"/>
                <w:rFonts w:ascii="Arial" w:hAnsi="Arial" w:cs="Arial"/>
                <w:sz w:val="18"/>
                <w:szCs w:val="18"/>
                <w:lang w:val="fo-FO"/>
              </w:rPr>
              <w:tag w:val="ToActivityContact.ToAddress.Country.Description"/>
              <w:id w:val="10013"/>
              <w:placeholder>
                <w:docPart w:val="12493FF6D97C46DEA87B18359E7E4C5D"/>
              </w:placeholder>
              <w:dataBinding w:prefixMappings="xmlns:gbs='http://www.software-innovation.no/growBusinessDocument'" w:xpath="/gbs:GrowBusinessDocument/gbs:ToActivityContact.ToAddress.Country.Description[@gbs:key='10013']" w:storeItemID="{A71D5EB8-DD50-4B60-B751-C326F0704801}"/>
              <w:text/>
            </w:sdtPr>
            <w:sdtEndPr>
              <w:rPr>
                <w:rStyle w:val="AdressuUppl"/>
              </w:rPr>
            </w:sdtEndPr>
            <w:sdtContent>
              <w:p w:rsidR="00B51204" w:rsidRPr="00B704FD" w:rsidRDefault="001E2B05" w:rsidP="00F65F26">
                <w:pPr>
                  <w:rPr>
                    <w:rStyle w:val="AdressuUppl"/>
                    <w:rFonts w:ascii="Arial" w:hAnsi="Arial" w:cs="Arial"/>
                    <w:sz w:val="18"/>
                    <w:szCs w:val="18"/>
                    <w:lang w:val="fo-FO"/>
                  </w:rPr>
                </w:pPr>
                <w:r>
                  <w:rPr>
                    <w:rStyle w:val="AdressuUppl"/>
                    <w:rFonts w:ascii="Arial" w:hAnsi="Arial" w:cs="Arial"/>
                    <w:sz w:val="18"/>
                    <w:szCs w:val="18"/>
                    <w:lang w:val="fo-FO"/>
                  </w:rPr>
                  <w:t xml:space="preserve">  </w:t>
                </w:r>
              </w:p>
            </w:sdtContent>
          </w:sdt>
          <w:p w:rsidR="00317CEE" w:rsidRPr="00B704FD" w:rsidRDefault="00317CEE" w:rsidP="00F65F26">
            <w:pPr>
              <w:rPr>
                <w:rFonts w:ascii="Arial" w:hAnsi="Arial" w:cs="Arial"/>
                <w:sz w:val="18"/>
                <w:szCs w:val="18"/>
                <w:lang w:val="fo-FO"/>
              </w:rPr>
            </w:pPr>
          </w:p>
          <w:p w:rsidR="00317CEE" w:rsidRPr="00B704FD" w:rsidRDefault="00317CEE" w:rsidP="00BD3DA9">
            <w:pPr>
              <w:rPr>
                <w:rFonts w:ascii="Arial" w:hAnsi="Arial" w:cs="Arial"/>
                <w:sz w:val="18"/>
                <w:szCs w:val="18"/>
                <w:lang w:val="fo-FO"/>
              </w:rPr>
            </w:pPr>
          </w:p>
        </w:tc>
        <w:tc>
          <w:tcPr>
            <w:tcW w:w="3260" w:type="dxa"/>
          </w:tcPr>
          <w:p w:rsidR="007D5C40" w:rsidRPr="00A33E61" w:rsidRDefault="007D5C40" w:rsidP="001D1AEE">
            <w:pPr>
              <w:pStyle w:val="Ingenafstand"/>
              <w:jc w:val="right"/>
              <w:rPr>
                <w:rStyle w:val="TemplateStyle"/>
                <w:rFonts w:ascii="Times New Roman" w:hAnsi="Times New Roman"/>
                <w:sz w:val="18"/>
                <w:szCs w:val="18"/>
                <w:lang w:val="fo-FO"/>
              </w:rPr>
            </w:pPr>
          </w:p>
          <w:p w:rsidR="007D5C40" w:rsidRPr="00A33E61" w:rsidRDefault="007D5C40" w:rsidP="001D1AEE">
            <w:pPr>
              <w:pStyle w:val="Ingenafstand"/>
              <w:jc w:val="right"/>
              <w:rPr>
                <w:rStyle w:val="TemplateStyle"/>
                <w:rFonts w:ascii="Times New Roman" w:hAnsi="Times New Roman"/>
                <w:sz w:val="18"/>
                <w:szCs w:val="18"/>
                <w:lang w:val="fo-FO"/>
              </w:rPr>
            </w:pPr>
          </w:p>
          <w:p w:rsidR="007B7192" w:rsidRDefault="007B7192" w:rsidP="001D1AEE">
            <w:pPr>
              <w:pStyle w:val="Ingenafstand"/>
              <w:jc w:val="right"/>
              <w:rPr>
                <w:rStyle w:val="TemplateStyle"/>
                <w:rFonts w:ascii="Times New Roman" w:hAnsi="Times New Roman"/>
                <w:b/>
                <w:sz w:val="18"/>
                <w:szCs w:val="18"/>
                <w:lang w:val="fo-FO"/>
              </w:rPr>
            </w:pPr>
          </w:p>
          <w:p w:rsidR="00317CEE" w:rsidRPr="00AD4B50" w:rsidRDefault="001D1AEE" w:rsidP="001D1AEE">
            <w:pPr>
              <w:pStyle w:val="Ingenafstand"/>
              <w:jc w:val="right"/>
              <w:rPr>
                <w:rStyle w:val="TemplateStyle"/>
                <w:rFonts w:ascii="Times New Roman" w:hAnsi="Times New Roman"/>
                <w:b/>
                <w:sz w:val="18"/>
                <w:szCs w:val="18"/>
                <w:lang w:val="fo-FO"/>
              </w:rPr>
            </w:pPr>
            <w:r w:rsidRPr="00AD4B50">
              <w:rPr>
                <w:rStyle w:val="TemplateStyle"/>
                <w:rFonts w:ascii="Times New Roman" w:hAnsi="Times New Roman"/>
                <w:b/>
                <w:sz w:val="18"/>
                <w:szCs w:val="18"/>
                <w:lang w:val="fo-FO"/>
              </w:rPr>
              <w:t>Tórshavn</w:t>
            </w:r>
            <w:r w:rsidR="00EC7936" w:rsidRPr="00AD4B50">
              <w:rPr>
                <w:rStyle w:val="TemplateStyle"/>
                <w:rFonts w:ascii="Times New Roman" w:hAnsi="Times New Roman"/>
                <w:b/>
                <w:sz w:val="18"/>
                <w:szCs w:val="18"/>
                <w:lang w:val="fo-FO"/>
              </w:rPr>
              <w:t xml:space="preserve"> </w:t>
            </w:r>
            <w:sdt>
              <w:sdtPr>
                <w:rPr>
                  <w:rStyle w:val="TemplateStyle"/>
                  <w:rFonts w:ascii="Times New Roman" w:hAnsi="Times New Roman"/>
                  <w:b/>
                  <w:sz w:val="18"/>
                  <w:szCs w:val="18"/>
                  <w:lang w:val="fo-FO"/>
                </w:rPr>
                <w:alias w:val="Dokumentdato"/>
                <w:tag w:val="DocumentDate"/>
                <w:id w:val="10009"/>
                <w:placeholder>
                  <w:docPart w:val="F88EAF9D628840D59B5A5EE9AA34A449"/>
                </w:placeholder>
                <w:dataBinding w:prefixMappings="xmlns:gbs='http://www.software-innovation.no/growBusinessDocument'" w:xpath="/gbs:GrowBusinessDocument/gbs:DocumentDate[@gbs:key='10009']" w:storeItemID="{A71D5EB8-DD50-4B60-B751-C326F0704801}"/>
                <w:date w:fullDate="2018-05-14T00:00:00Z">
                  <w:dateFormat w:val="d. MMMM yyyy"/>
                  <w:lid w:val="fo-FO"/>
                  <w:storeMappedDataAs w:val="dateTime"/>
                  <w:calendar w:val="gregorian"/>
                </w:date>
              </w:sdtPr>
              <w:sdtEndPr>
                <w:rPr>
                  <w:rStyle w:val="Standardskrifttypeiafsnit"/>
                </w:rPr>
              </w:sdtEndPr>
              <w:sdtContent>
                <w:r w:rsidR="00960378">
                  <w:rPr>
                    <w:rStyle w:val="TemplateStyle"/>
                    <w:rFonts w:ascii="Times New Roman" w:hAnsi="Times New Roman"/>
                    <w:b/>
                    <w:sz w:val="18"/>
                    <w:szCs w:val="18"/>
                    <w:lang w:val="fo-FO"/>
                  </w:rPr>
                  <w:t>14. mai 2018</w:t>
                </w:r>
              </w:sdtContent>
            </w:sdt>
          </w:p>
          <w:p w:rsidR="00317CEE" w:rsidRPr="00A33E61" w:rsidRDefault="001D1AEE" w:rsidP="001D1AEE">
            <w:pPr>
              <w:pStyle w:val="Ingenafstand"/>
              <w:jc w:val="right"/>
              <w:rPr>
                <w:sz w:val="18"/>
                <w:szCs w:val="18"/>
                <w:lang w:val="fo-FO"/>
              </w:rPr>
            </w:pPr>
            <w:r w:rsidRPr="00A33E61">
              <w:rPr>
                <w:sz w:val="18"/>
                <w:szCs w:val="18"/>
                <w:lang w:val="fo-FO"/>
              </w:rPr>
              <w:t>Journalnr</w:t>
            </w:r>
            <w:r w:rsidR="00D31492" w:rsidRPr="00A33E61">
              <w:rPr>
                <w:sz w:val="18"/>
                <w:szCs w:val="18"/>
                <w:lang w:val="fo-FO"/>
              </w:rPr>
              <w:t>.</w:t>
            </w:r>
            <w:r w:rsidR="00317CEE" w:rsidRPr="00A33E61">
              <w:rPr>
                <w:sz w:val="18"/>
                <w:szCs w:val="18"/>
                <w:lang w:val="fo-FO"/>
              </w:rPr>
              <w:t xml:space="preserve">: </w:t>
            </w:r>
            <w:sdt>
              <w:sdtPr>
                <w:rPr>
                  <w:rStyle w:val="TemplateStyle"/>
                  <w:rFonts w:ascii="Times New Roman" w:hAnsi="Times New Roman"/>
                  <w:sz w:val="18"/>
                  <w:szCs w:val="18"/>
                  <w:lang w:val="fo-FO"/>
                </w:rPr>
                <w:alias w:val="Dokument nummer"/>
                <w:tag w:val="DocumentNumber"/>
                <w:id w:val="10004"/>
                <w:placeholder>
                  <w:docPart w:val="B225AC233938406A9971EEC654B00C70"/>
                </w:placeholder>
                <w:dataBinding w:prefixMappings="xmlns:gbs='http://www.software-innovation.no/growBusinessDocument'" w:xpath="/gbs:GrowBusinessDocument/gbs:DocumentNumber[@gbs:key='10004']" w:storeItemID="{A71D5EB8-DD50-4B60-B751-C326F0704801}"/>
                <w:text/>
              </w:sdtPr>
              <w:sdtEndPr>
                <w:rPr>
                  <w:rStyle w:val="Standardskrifttypeiafsnit"/>
                </w:rPr>
              </w:sdtEndPr>
              <w:sdtContent>
                <w:r w:rsidR="001E2B05">
                  <w:rPr>
                    <w:rStyle w:val="TemplateStyle"/>
                    <w:rFonts w:ascii="Times New Roman" w:hAnsi="Times New Roman"/>
                    <w:sz w:val="18"/>
                    <w:szCs w:val="18"/>
                    <w:lang w:val="fo-FO"/>
                  </w:rPr>
                  <w:t>17/00106-16</w:t>
                </w:r>
              </w:sdtContent>
            </w:sdt>
          </w:p>
          <w:p w:rsidR="00161F28" w:rsidRPr="00A33E61" w:rsidRDefault="00161F28" w:rsidP="006F4FC4">
            <w:pPr>
              <w:pStyle w:val="Ingenafstand"/>
              <w:jc w:val="right"/>
              <w:rPr>
                <w:sz w:val="18"/>
                <w:szCs w:val="18"/>
                <w:lang w:val="fo-FO"/>
              </w:rPr>
            </w:pPr>
          </w:p>
        </w:tc>
      </w:tr>
    </w:tbl>
    <w:p w:rsidR="002A5B95" w:rsidRDefault="002A5B95" w:rsidP="007B191B">
      <w:pPr>
        <w:pStyle w:val="Titel"/>
        <w:rPr>
          <w:rFonts w:ascii="Arial" w:hAnsi="Arial" w:cs="Arial"/>
          <w:sz w:val="20"/>
          <w:szCs w:val="20"/>
          <w:lang w:val="fo-FO"/>
        </w:rPr>
      </w:pPr>
    </w:p>
    <w:p w:rsidR="00356E47" w:rsidRPr="00A7453C" w:rsidRDefault="007B191B" w:rsidP="007B191B">
      <w:pPr>
        <w:pStyle w:val="Titel"/>
        <w:rPr>
          <w:rFonts w:ascii="Arial" w:hAnsi="Arial" w:cs="Arial"/>
          <w:sz w:val="20"/>
          <w:szCs w:val="20"/>
          <w:lang w:val="fo-FO"/>
        </w:rPr>
      </w:pPr>
      <w:r w:rsidRPr="00A7453C">
        <w:rPr>
          <w:rFonts w:ascii="Arial" w:hAnsi="Arial" w:cs="Arial"/>
          <w:sz w:val="20"/>
          <w:szCs w:val="20"/>
          <w:lang w:val="fo-FO"/>
        </w:rPr>
        <w:t xml:space="preserve"> </w:t>
      </w:r>
      <w:sdt>
        <w:sdtPr>
          <w:rPr>
            <w:rFonts w:ascii="Arial" w:hAnsi="Arial" w:cs="Arial"/>
            <w:sz w:val="20"/>
            <w:szCs w:val="20"/>
            <w:lang w:val="fo-FO"/>
          </w:rPr>
          <w:tag w:val="Title"/>
          <w:id w:val="10014"/>
          <w:placeholder>
            <w:docPart w:val="12493FF6D97C46DEA87B18359E7E4C5D"/>
          </w:placeholder>
          <w:dataBinding w:prefixMappings="xmlns:gbs='http://www.software-innovation.no/growBusinessDocument'" w:xpath="/gbs:GrowBusinessDocument/gbs:Title[@gbs:key='10014']" w:storeItemID="{A71D5EB8-DD50-4B60-B751-C326F0704801}"/>
          <w:text/>
        </w:sdtPr>
        <w:sdtEndPr/>
        <w:sdtContent>
          <w:r w:rsidR="001E2B05">
            <w:rPr>
              <w:rFonts w:ascii="Arial" w:hAnsi="Arial" w:cs="Arial"/>
              <w:sz w:val="20"/>
              <w:szCs w:val="20"/>
              <w:lang w:val="fo-FO"/>
            </w:rPr>
            <w:t>Notat om efterfølgende ændringer i udkast til regnskabsbekendtgørelse</w:t>
          </w:r>
        </w:sdtContent>
      </w:sdt>
    </w:p>
    <w:p w:rsidR="00A33E61" w:rsidRPr="00A7453C" w:rsidRDefault="00A33E61" w:rsidP="00A33E61">
      <w:pPr>
        <w:rPr>
          <w:rFonts w:ascii="Arial" w:hAnsi="Arial" w:cs="Arial"/>
          <w:sz w:val="20"/>
          <w:szCs w:val="20"/>
          <w:lang w:val="fo-FO"/>
        </w:rPr>
      </w:pPr>
    </w:p>
    <w:p w:rsidR="00B57693" w:rsidRPr="00243159" w:rsidRDefault="00B57693" w:rsidP="00B57693">
      <w:pPr>
        <w:spacing w:after="200" w:line="276" w:lineRule="auto"/>
        <w:rPr>
          <w:rFonts w:ascii="Arial" w:hAnsi="Arial" w:cs="Arial"/>
          <w:sz w:val="20"/>
          <w:szCs w:val="20"/>
          <w:lang w:val="da-DK"/>
        </w:rPr>
      </w:pPr>
      <w:r w:rsidRPr="00243159">
        <w:rPr>
          <w:rFonts w:ascii="Arial" w:hAnsi="Arial" w:cs="Arial"/>
          <w:sz w:val="20"/>
          <w:szCs w:val="20"/>
          <w:lang w:val="da-DK"/>
        </w:rPr>
        <w:t xml:space="preserve">I dette notat redegøres der for de efterfølgende ændringer, som er foretaget i udkastet til </w:t>
      </w:r>
      <w:r>
        <w:rPr>
          <w:rFonts w:ascii="Arial" w:hAnsi="Arial" w:cs="Arial"/>
          <w:sz w:val="20"/>
          <w:szCs w:val="20"/>
          <w:lang w:val="da-DK"/>
        </w:rPr>
        <w:t>regnskabsbekendtgørelse</w:t>
      </w:r>
      <w:r w:rsidRPr="00243159">
        <w:rPr>
          <w:rFonts w:ascii="Arial" w:hAnsi="Arial" w:cs="Arial"/>
          <w:sz w:val="20"/>
          <w:szCs w:val="20"/>
          <w:lang w:val="da-DK"/>
        </w:rPr>
        <w:t xml:space="preserve">, som blev sendt i høring den </w:t>
      </w:r>
      <w:r>
        <w:rPr>
          <w:rFonts w:ascii="Arial" w:hAnsi="Arial" w:cs="Arial"/>
          <w:sz w:val="20"/>
          <w:szCs w:val="20"/>
          <w:lang w:val="da-DK"/>
        </w:rPr>
        <w:t>19. juni</w:t>
      </w:r>
      <w:r w:rsidRPr="00243159">
        <w:rPr>
          <w:rFonts w:ascii="Arial" w:hAnsi="Arial" w:cs="Arial"/>
          <w:sz w:val="20"/>
          <w:szCs w:val="20"/>
          <w:lang w:val="da-DK"/>
        </w:rPr>
        <w:t xml:space="preserve"> 2017.</w:t>
      </w:r>
    </w:p>
    <w:p w:rsidR="00B57693" w:rsidRPr="00243159" w:rsidRDefault="00B57693" w:rsidP="00B57693">
      <w:pPr>
        <w:pStyle w:val="Overskrift1"/>
        <w:rPr>
          <w:lang w:val="da-DK"/>
        </w:rPr>
      </w:pPr>
      <w:r w:rsidRPr="00243159">
        <w:rPr>
          <w:lang w:val="da-DK"/>
        </w:rPr>
        <w:t xml:space="preserve">Udkast til </w:t>
      </w:r>
      <w:r>
        <w:rPr>
          <w:lang w:val="da-DK"/>
        </w:rPr>
        <w:t>regnskabsbekendtgørelse</w:t>
      </w:r>
    </w:p>
    <w:p w:rsidR="00B57693" w:rsidRPr="00243159" w:rsidRDefault="00B57693" w:rsidP="00B57693">
      <w:pPr>
        <w:spacing w:after="200" w:line="276" w:lineRule="auto"/>
        <w:rPr>
          <w:rFonts w:ascii="Arial" w:hAnsi="Arial" w:cs="Arial"/>
          <w:sz w:val="20"/>
          <w:szCs w:val="20"/>
          <w:lang w:val="da-DK"/>
        </w:rPr>
      </w:pPr>
      <w:r w:rsidRPr="00243159">
        <w:rPr>
          <w:rFonts w:ascii="Arial" w:hAnsi="Arial" w:cs="Arial"/>
          <w:sz w:val="20"/>
          <w:szCs w:val="20"/>
          <w:lang w:val="da-DK"/>
        </w:rPr>
        <w:t xml:space="preserve">Udkastet til </w:t>
      </w:r>
      <w:r>
        <w:rPr>
          <w:rFonts w:ascii="Arial" w:hAnsi="Arial" w:cs="Arial"/>
          <w:sz w:val="20"/>
          <w:szCs w:val="20"/>
          <w:lang w:val="da-DK"/>
        </w:rPr>
        <w:t>regnskabsbekendtgørelse</w:t>
      </w:r>
      <w:r w:rsidRPr="00243159">
        <w:rPr>
          <w:rFonts w:ascii="Arial" w:hAnsi="Arial" w:cs="Arial"/>
          <w:sz w:val="20"/>
          <w:szCs w:val="20"/>
          <w:lang w:val="da-DK"/>
        </w:rPr>
        <w:t xml:space="preserve"> tager udgangspunkt i Finanstilsynets bekendtgørelse nr. </w:t>
      </w:r>
      <w:r>
        <w:rPr>
          <w:rFonts w:ascii="Arial" w:hAnsi="Arial" w:cs="Arial"/>
          <w:sz w:val="20"/>
          <w:szCs w:val="20"/>
          <w:lang w:val="da-DK"/>
        </w:rPr>
        <w:t xml:space="preserve">937 af 27/07/2015 </w:t>
      </w:r>
      <w:r w:rsidRPr="001E2B05">
        <w:rPr>
          <w:rFonts w:ascii="Arial" w:hAnsi="Arial" w:cs="Arial"/>
          <w:sz w:val="20"/>
          <w:szCs w:val="20"/>
          <w:lang w:val="da-DK"/>
        </w:rPr>
        <w:t>om finansielle rapporter for forsikringsselskaber og tværgående pensionskasser</w:t>
      </w:r>
      <w:r>
        <w:rPr>
          <w:rFonts w:ascii="Arial" w:hAnsi="Arial" w:cs="Arial"/>
          <w:sz w:val="20"/>
          <w:szCs w:val="20"/>
          <w:lang w:val="da-DK"/>
        </w:rPr>
        <w:t>, som ændret ved bekendtgørelse nr. 688 af 01/06/2016.</w:t>
      </w:r>
    </w:p>
    <w:p w:rsidR="00B57693" w:rsidRPr="00243159" w:rsidRDefault="00B57693" w:rsidP="00B57693">
      <w:pPr>
        <w:spacing w:after="200" w:line="276" w:lineRule="auto"/>
        <w:rPr>
          <w:rFonts w:ascii="Arial" w:hAnsi="Arial" w:cs="Arial"/>
          <w:sz w:val="20"/>
          <w:szCs w:val="20"/>
          <w:lang w:val="da-DK"/>
        </w:rPr>
      </w:pPr>
      <w:r w:rsidRPr="00243159">
        <w:rPr>
          <w:rFonts w:ascii="Arial" w:hAnsi="Arial" w:cs="Arial"/>
          <w:sz w:val="20"/>
          <w:szCs w:val="20"/>
          <w:lang w:val="da-DK"/>
        </w:rPr>
        <w:t xml:space="preserve">Udkastet blev sendt i høring den </w:t>
      </w:r>
      <w:r>
        <w:rPr>
          <w:rFonts w:ascii="Arial" w:hAnsi="Arial" w:cs="Arial"/>
          <w:sz w:val="20"/>
          <w:szCs w:val="20"/>
          <w:lang w:val="da-DK"/>
        </w:rPr>
        <w:t>19. juni</w:t>
      </w:r>
      <w:r w:rsidRPr="00243159">
        <w:rPr>
          <w:rFonts w:ascii="Arial" w:hAnsi="Arial" w:cs="Arial"/>
          <w:sz w:val="20"/>
          <w:szCs w:val="20"/>
          <w:lang w:val="da-DK"/>
        </w:rPr>
        <w:t xml:space="preserve"> 2017, med høringsfrist den 11. september 2017.</w:t>
      </w:r>
    </w:p>
    <w:p w:rsidR="00B57693" w:rsidRPr="00243159" w:rsidRDefault="00B57693" w:rsidP="00B57693">
      <w:pPr>
        <w:pStyle w:val="Overskrift1"/>
        <w:rPr>
          <w:lang w:val="da-DK"/>
        </w:rPr>
      </w:pPr>
      <w:r w:rsidRPr="00243159">
        <w:rPr>
          <w:lang w:val="da-DK"/>
        </w:rPr>
        <w:t xml:space="preserve">Efterfølgende ændringer i udkastet til anmeldelsesbekendtgørelse </w:t>
      </w:r>
    </w:p>
    <w:p w:rsidR="00B57693" w:rsidRPr="00243159" w:rsidRDefault="00B57693" w:rsidP="00B57693">
      <w:pPr>
        <w:spacing w:after="200" w:line="276" w:lineRule="auto"/>
        <w:rPr>
          <w:rFonts w:ascii="Arial" w:hAnsi="Arial" w:cs="Arial"/>
          <w:sz w:val="20"/>
          <w:szCs w:val="20"/>
          <w:lang w:val="da-DK"/>
        </w:rPr>
      </w:pPr>
      <w:r w:rsidRPr="00243159">
        <w:rPr>
          <w:rFonts w:ascii="Arial" w:hAnsi="Arial" w:cs="Arial"/>
          <w:sz w:val="20"/>
          <w:szCs w:val="20"/>
          <w:lang w:val="da-DK"/>
        </w:rPr>
        <w:t>Forsikringstilsynet har modtaget skriftlige høringssvar til udkastet fra høringsparterne.</w:t>
      </w:r>
      <w:r>
        <w:rPr>
          <w:rFonts w:ascii="Arial" w:hAnsi="Arial" w:cs="Arial"/>
          <w:sz w:val="20"/>
          <w:szCs w:val="20"/>
          <w:lang w:val="da-DK"/>
        </w:rPr>
        <w:t xml:space="preserve"> Ligeledes har tilsynet noteret de mundlige kommentarer til udkastet, som blev fremsat på orienteringsmødet på Hotel Hafnia den 21. september 2017.</w:t>
      </w:r>
    </w:p>
    <w:p w:rsidR="00B57693" w:rsidRPr="00243159" w:rsidRDefault="00B57693" w:rsidP="00B57693">
      <w:pPr>
        <w:spacing w:after="200" w:line="276" w:lineRule="auto"/>
        <w:rPr>
          <w:rFonts w:ascii="Arial" w:hAnsi="Arial" w:cs="Arial"/>
          <w:sz w:val="20"/>
          <w:szCs w:val="20"/>
          <w:lang w:val="da-DK"/>
        </w:rPr>
      </w:pPr>
      <w:r w:rsidRPr="00243159">
        <w:rPr>
          <w:rFonts w:ascii="Arial" w:hAnsi="Arial" w:cs="Arial"/>
          <w:sz w:val="20"/>
          <w:szCs w:val="20"/>
          <w:lang w:val="da-DK"/>
        </w:rPr>
        <w:t xml:space="preserve">Forsikringstilsynet har sammen med EY gennemgået de modtagne bemærkninger, og har på baggrund heraf foretaget følgende </w:t>
      </w:r>
      <w:r>
        <w:rPr>
          <w:rFonts w:ascii="Arial" w:hAnsi="Arial" w:cs="Arial"/>
          <w:sz w:val="20"/>
          <w:szCs w:val="20"/>
          <w:lang w:val="da-DK"/>
        </w:rPr>
        <w:t>ændringer i udkastet:</w:t>
      </w:r>
    </w:p>
    <w:p w:rsidR="00B57693" w:rsidRDefault="00B57693" w:rsidP="00B57693">
      <w:pPr>
        <w:pStyle w:val="Listeafsnit"/>
        <w:numPr>
          <w:ilvl w:val="0"/>
          <w:numId w:val="6"/>
        </w:numPr>
        <w:spacing w:after="200" w:line="276" w:lineRule="auto"/>
        <w:rPr>
          <w:rFonts w:ascii="Arial" w:hAnsi="Arial" w:cs="Arial"/>
          <w:sz w:val="20"/>
          <w:szCs w:val="20"/>
          <w:lang w:val="da-DK"/>
        </w:rPr>
      </w:pPr>
      <w:r>
        <w:rPr>
          <w:rFonts w:ascii="Arial" w:hAnsi="Arial" w:cs="Arial"/>
          <w:sz w:val="20"/>
          <w:szCs w:val="20"/>
          <w:lang w:val="da-DK"/>
        </w:rPr>
        <w:t xml:space="preserve">§ 18, stk. 2. Nummeret på posten </w:t>
      </w:r>
      <w:r w:rsidRPr="00A42138">
        <w:rPr>
          <w:rFonts w:ascii="Arial" w:hAnsi="Arial" w:cs="Arial"/>
          <w:i/>
          <w:sz w:val="20"/>
          <w:szCs w:val="20"/>
          <w:lang w:val="da-DK"/>
        </w:rPr>
        <w:t>Livsforsikringshensættelser</w:t>
      </w:r>
      <w:r>
        <w:rPr>
          <w:rFonts w:ascii="Arial" w:hAnsi="Arial" w:cs="Arial"/>
          <w:i/>
          <w:sz w:val="20"/>
          <w:szCs w:val="20"/>
          <w:lang w:val="da-DK"/>
        </w:rPr>
        <w:t xml:space="preserve"> </w:t>
      </w:r>
      <w:r w:rsidRPr="00CB49B1">
        <w:rPr>
          <w:rFonts w:ascii="Arial" w:hAnsi="Arial" w:cs="Arial"/>
          <w:sz w:val="20"/>
          <w:szCs w:val="20"/>
          <w:lang w:val="da-DK"/>
        </w:rPr>
        <w:t>er</w:t>
      </w:r>
      <w:r>
        <w:rPr>
          <w:rFonts w:ascii="Arial" w:hAnsi="Arial" w:cs="Arial"/>
          <w:i/>
          <w:sz w:val="20"/>
          <w:szCs w:val="20"/>
          <w:lang w:val="da-DK"/>
        </w:rPr>
        <w:t xml:space="preserve"> </w:t>
      </w:r>
      <w:r>
        <w:rPr>
          <w:rFonts w:ascii="Arial" w:hAnsi="Arial" w:cs="Arial"/>
          <w:sz w:val="20"/>
          <w:szCs w:val="20"/>
          <w:lang w:val="da-DK"/>
        </w:rPr>
        <w:t>korrigeret fra 10 til 12, således at posten stemmer overens med nummereringen i balanceskemaet, jf. bilag 2.</w:t>
      </w:r>
    </w:p>
    <w:p w:rsidR="00B57693" w:rsidRDefault="00B57693" w:rsidP="00B57693">
      <w:pPr>
        <w:pStyle w:val="Listeafsnit"/>
        <w:numPr>
          <w:ilvl w:val="0"/>
          <w:numId w:val="6"/>
        </w:numPr>
        <w:spacing w:after="200" w:line="276" w:lineRule="auto"/>
        <w:rPr>
          <w:rFonts w:ascii="Arial" w:hAnsi="Arial" w:cs="Arial"/>
          <w:sz w:val="20"/>
          <w:szCs w:val="20"/>
          <w:lang w:val="da-DK"/>
        </w:rPr>
      </w:pPr>
      <w:r>
        <w:rPr>
          <w:rFonts w:ascii="Arial" w:hAnsi="Arial" w:cs="Arial"/>
          <w:sz w:val="20"/>
          <w:szCs w:val="20"/>
          <w:lang w:val="da-DK"/>
        </w:rPr>
        <w:t>§ 111. Henvisningen i bestemmelsen til § 100, stk. 5 er ændret til at omfatte både § 100, stk. 4 og 5.</w:t>
      </w:r>
    </w:p>
    <w:p w:rsidR="00B57693" w:rsidRDefault="00B57693" w:rsidP="00B57693">
      <w:pPr>
        <w:pStyle w:val="Listeafsnit"/>
        <w:numPr>
          <w:ilvl w:val="0"/>
          <w:numId w:val="6"/>
        </w:numPr>
        <w:spacing w:after="200" w:line="276" w:lineRule="auto"/>
        <w:rPr>
          <w:rFonts w:ascii="Arial" w:hAnsi="Arial" w:cs="Arial"/>
          <w:sz w:val="20"/>
          <w:szCs w:val="20"/>
          <w:lang w:val="da-DK"/>
        </w:rPr>
      </w:pPr>
      <w:r>
        <w:rPr>
          <w:rFonts w:ascii="Arial" w:hAnsi="Arial" w:cs="Arial"/>
          <w:sz w:val="20"/>
          <w:szCs w:val="20"/>
          <w:lang w:val="da-DK"/>
        </w:rPr>
        <w:t xml:space="preserve">§ 130 a, stk. 1. I anden linje er der foretaget en sproglig rettelse, hvor ordet </w:t>
      </w:r>
      <w:r>
        <w:rPr>
          <w:rFonts w:ascii="Arial" w:hAnsi="Arial" w:cs="Arial"/>
          <w:i/>
          <w:sz w:val="20"/>
          <w:szCs w:val="20"/>
          <w:lang w:val="da-DK"/>
        </w:rPr>
        <w:t>en</w:t>
      </w:r>
      <w:r>
        <w:rPr>
          <w:rFonts w:ascii="Arial" w:hAnsi="Arial" w:cs="Arial"/>
          <w:sz w:val="20"/>
          <w:szCs w:val="20"/>
          <w:lang w:val="da-DK"/>
        </w:rPr>
        <w:t xml:space="preserve"> er slettet.</w:t>
      </w:r>
    </w:p>
    <w:p w:rsidR="00B57693" w:rsidRPr="001F1FB4" w:rsidRDefault="00B57693" w:rsidP="00B57693">
      <w:pPr>
        <w:pStyle w:val="Listeafsnit"/>
        <w:numPr>
          <w:ilvl w:val="0"/>
          <w:numId w:val="6"/>
        </w:numPr>
        <w:spacing w:after="200" w:line="276" w:lineRule="auto"/>
        <w:rPr>
          <w:rFonts w:ascii="Arial" w:hAnsi="Arial" w:cs="Arial"/>
          <w:sz w:val="20"/>
          <w:szCs w:val="20"/>
          <w:lang w:val="da-DK"/>
        </w:rPr>
      </w:pPr>
      <w:r>
        <w:rPr>
          <w:rFonts w:ascii="Arial" w:hAnsi="Arial" w:cs="Arial"/>
          <w:sz w:val="20"/>
          <w:szCs w:val="20"/>
          <w:lang w:val="da-DK"/>
        </w:rPr>
        <w:t>§ 147. Bekendtgørelsen ikrafttræden i stk. 1 er udsat fra den 31. december 2017 til den 31. december 2018. Bekendtgørelsen finder først anvendelse på års- og delårsrapporter vedrørende regnskabsår, der begynder 1. januar 2019. Som følge heraf er stk. 2 og 3 konsekvensrettet.</w:t>
      </w:r>
    </w:p>
    <w:p w:rsidR="00960378" w:rsidRPr="00960378" w:rsidRDefault="00B57693" w:rsidP="00E73C11">
      <w:pPr>
        <w:pStyle w:val="Listeafsnit"/>
        <w:numPr>
          <w:ilvl w:val="0"/>
          <w:numId w:val="6"/>
        </w:numPr>
        <w:spacing w:after="200" w:line="276" w:lineRule="auto"/>
        <w:rPr>
          <w:rFonts w:ascii="Arial" w:hAnsi="Arial" w:cs="Arial"/>
          <w:sz w:val="20"/>
          <w:szCs w:val="20"/>
          <w:lang w:val="da-DK"/>
        </w:rPr>
      </w:pPr>
      <w:r w:rsidRPr="00960378">
        <w:rPr>
          <w:rFonts w:ascii="Arial" w:hAnsi="Arial" w:cs="Arial"/>
          <w:sz w:val="20"/>
          <w:szCs w:val="20"/>
          <w:lang w:val="da-DK"/>
        </w:rPr>
        <w:t>Bilag 1, nr. 42. Det er præciseret</w:t>
      </w:r>
      <w:r w:rsidR="0051353F">
        <w:rPr>
          <w:rFonts w:ascii="Arial" w:hAnsi="Arial" w:cs="Arial"/>
          <w:sz w:val="20"/>
          <w:szCs w:val="20"/>
          <w:lang w:val="da-DK"/>
        </w:rPr>
        <w:t>,</w:t>
      </w:r>
      <w:r w:rsidRPr="00960378">
        <w:rPr>
          <w:rFonts w:ascii="Arial" w:hAnsi="Arial" w:cs="Arial"/>
          <w:sz w:val="20"/>
          <w:szCs w:val="20"/>
          <w:lang w:val="da-DK"/>
        </w:rPr>
        <w:t xml:space="preserve"> at det ikke er obligatorisk at opgøre de garanterede ydelser under hensyn til forsikringstagerens eller kontraktpartens udnyttelse af optioner som tilbagekøb eller præmieophør. </w:t>
      </w:r>
      <w:r w:rsidR="00960378" w:rsidRPr="00960378">
        <w:rPr>
          <w:rFonts w:ascii="Arial" w:hAnsi="Arial" w:cs="Arial"/>
          <w:sz w:val="20"/>
          <w:szCs w:val="20"/>
          <w:lang w:val="da-DK"/>
        </w:rPr>
        <w:t xml:space="preserve">Bestemmelsen har </w:t>
      </w:r>
      <w:r w:rsidR="0051353F">
        <w:rPr>
          <w:rFonts w:ascii="Arial" w:hAnsi="Arial" w:cs="Arial"/>
          <w:sz w:val="20"/>
          <w:szCs w:val="20"/>
          <w:lang w:val="da-DK"/>
        </w:rPr>
        <w:t xml:space="preserve">fået </w:t>
      </w:r>
      <w:r w:rsidR="00960378" w:rsidRPr="00960378">
        <w:rPr>
          <w:rFonts w:ascii="Arial" w:hAnsi="Arial" w:cs="Arial"/>
          <w:sz w:val="20"/>
          <w:szCs w:val="20"/>
          <w:lang w:val="da-DK"/>
        </w:rPr>
        <w:t>følgende ordlyd:</w:t>
      </w:r>
    </w:p>
    <w:p w:rsidR="00960378" w:rsidRDefault="00960378" w:rsidP="00960378">
      <w:pPr>
        <w:pStyle w:val="Listeafsnit"/>
        <w:spacing w:after="200" w:line="276" w:lineRule="auto"/>
        <w:rPr>
          <w:rFonts w:ascii="Arial" w:hAnsi="Arial" w:cs="Arial"/>
          <w:i/>
          <w:sz w:val="20"/>
          <w:szCs w:val="20"/>
          <w:lang w:val="da-DK"/>
        </w:rPr>
      </w:pPr>
      <w:r>
        <w:rPr>
          <w:rFonts w:ascii="Arial" w:hAnsi="Arial" w:cs="Arial"/>
          <w:i/>
          <w:sz w:val="20"/>
          <w:szCs w:val="20"/>
          <w:lang w:val="da-DK"/>
        </w:rPr>
        <w:t xml:space="preserve">”42. Tryggjaðar veitingar / Garanterede ydelser: </w:t>
      </w:r>
    </w:p>
    <w:p w:rsidR="00960378" w:rsidRDefault="00960378" w:rsidP="00960378">
      <w:pPr>
        <w:pStyle w:val="Listeafsnit"/>
        <w:spacing w:after="200" w:line="276" w:lineRule="auto"/>
        <w:rPr>
          <w:rFonts w:ascii="Arial" w:hAnsi="Arial" w:cs="Arial"/>
          <w:sz w:val="20"/>
          <w:szCs w:val="20"/>
          <w:lang w:val="da-DK"/>
        </w:rPr>
      </w:pPr>
      <w:r>
        <w:rPr>
          <w:rFonts w:ascii="Arial" w:hAnsi="Arial" w:cs="Arial"/>
          <w:sz w:val="20"/>
          <w:szCs w:val="20"/>
          <w:lang w:val="da-DK"/>
        </w:rPr>
        <w:t xml:space="preserve">Nutidsværdien af de ydelser, der er garanteret en forsikringstager eller en part i en investeringskontrakt samt nutidsværdien af de forventede fremtidige udgifter til administration af kontrakten med fradrag af nutidsværdien af de aftalte fremtidige præmier.” </w:t>
      </w:r>
    </w:p>
    <w:p w:rsidR="00B57693" w:rsidRDefault="00B57693" w:rsidP="00B57693">
      <w:pPr>
        <w:pStyle w:val="Listeafsnit"/>
        <w:numPr>
          <w:ilvl w:val="0"/>
          <w:numId w:val="6"/>
        </w:numPr>
        <w:spacing w:after="200" w:line="276" w:lineRule="auto"/>
        <w:rPr>
          <w:rFonts w:ascii="Arial" w:hAnsi="Arial" w:cs="Arial"/>
          <w:sz w:val="20"/>
          <w:szCs w:val="20"/>
          <w:lang w:val="da-DK"/>
        </w:rPr>
      </w:pPr>
      <w:r w:rsidRPr="00D72C0C">
        <w:rPr>
          <w:rFonts w:ascii="Arial" w:hAnsi="Arial" w:cs="Arial"/>
          <w:sz w:val="20"/>
          <w:szCs w:val="20"/>
          <w:lang w:val="da-DK"/>
        </w:rPr>
        <w:t>Bilag</w:t>
      </w:r>
      <w:r>
        <w:rPr>
          <w:rFonts w:ascii="Arial" w:hAnsi="Arial" w:cs="Arial"/>
          <w:sz w:val="20"/>
          <w:szCs w:val="20"/>
          <w:lang w:val="da-DK"/>
        </w:rPr>
        <w:t xml:space="preserve"> 13. Overskriften til bilaget er korrigeret, således at den stemmer overens med oversigten over bilagene. Den korrekte overskrift er: </w:t>
      </w:r>
      <w:r>
        <w:rPr>
          <w:rFonts w:ascii="Arial" w:hAnsi="Arial" w:cs="Arial"/>
          <w:i/>
          <w:sz w:val="20"/>
          <w:szCs w:val="20"/>
          <w:lang w:val="da-DK"/>
        </w:rPr>
        <w:t>Skema til følsomhedsoplysninger, jf. § 126.</w:t>
      </w:r>
      <w:r>
        <w:rPr>
          <w:rFonts w:ascii="Arial" w:hAnsi="Arial" w:cs="Arial"/>
          <w:sz w:val="20"/>
          <w:szCs w:val="20"/>
          <w:lang w:val="da-DK"/>
        </w:rPr>
        <w:t xml:space="preserve"> </w:t>
      </w:r>
    </w:p>
    <w:p w:rsidR="00B57693" w:rsidRPr="00B75DC3" w:rsidRDefault="00B57693" w:rsidP="00B57693">
      <w:pPr>
        <w:pStyle w:val="Listeafsnit"/>
        <w:spacing w:after="200" w:line="276" w:lineRule="auto"/>
        <w:rPr>
          <w:rFonts w:ascii="Arial" w:hAnsi="Arial" w:cs="Arial"/>
          <w:sz w:val="20"/>
          <w:szCs w:val="20"/>
          <w:lang w:val="da-DK"/>
        </w:rPr>
      </w:pPr>
      <w:r>
        <w:rPr>
          <w:rFonts w:ascii="Arial" w:hAnsi="Arial" w:cs="Arial"/>
          <w:sz w:val="20"/>
          <w:szCs w:val="20"/>
          <w:lang w:val="da-DK"/>
        </w:rPr>
        <w:lastRenderedPageBreak/>
        <w:t>Risikonøgletallene i skemaet for henholdsvis rentestigning i linje 1 og rentefald i linje 2 er korrigeret fra 0,7 pct. point til 0,7-1,0 pct. Ligeledes er valutarisikoen i linje 5 korrigeret fra VaR 99,5 til VaR 99 pct.</w:t>
      </w:r>
      <w:bookmarkStart w:id="0" w:name="_GoBack"/>
      <w:bookmarkEnd w:id="0"/>
    </w:p>
    <w:p w:rsidR="00B57693" w:rsidRPr="00243159" w:rsidRDefault="00B57693" w:rsidP="00B57693">
      <w:pPr>
        <w:pStyle w:val="Overskrift1"/>
        <w:rPr>
          <w:lang w:val="da-DK"/>
        </w:rPr>
      </w:pPr>
      <w:r w:rsidRPr="00243159">
        <w:rPr>
          <w:lang w:val="da-DK"/>
        </w:rPr>
        <w:t>Forsikringstilsynets bemærkninger til høringssvarene</w:t>
      </w:r>
    </w:p>
    <w:p w:rsidR="00B57693" w:rsidRDefault="00B57693" w:rsidP="00B57693">
      <w:pPr>
        <w:spacing w:after="200" w:line="276" w:lineRule="auto"/>
        <w:rPr>
          <w:rFonts w:ascii="Arial" w:hAnsi="Arial" w:cs="Arial"/>
          <w:sz w:val="20"/>
          <w:szCs w:val="20"/>
          <w:lang w:val="da-DK"/>
        </w:rPr>
      </w:pPr>
      <w:r w:rsidRPr="00243159">
        <w:rPr>
          <w:rFonts w:ascii="Arial" w:hAnsi="Arial" w:cs="Arial"/>
          <w:sz w:val="20"/>
          <w:szCs w:val="20"/>
          <w:lang w:val="da-DK"/>
        </w:rPr>
        <w:t xml:space="preserve">De modtagne høringssvar indeholder flere kommentarer og spørgsmål, som ikke har givet anledning til ændring af udkastet til bekendtgørelse. Forsikringstilsynet </w:t>
      </w:r>
      <w:r>
        <w:rPr>
          <w:rFonts w:ascii="Arial" w:hAnsi="Arial" w:cs="Arial"/>
          <w:sz w:val="20"/>
          <w:szCs w:val="20"/>
          <w:lang w:val="da-DK"/>
        </w:rPr>
        <w:t xml:space="preserve">har dog bemærkninger til følgende </w:t>
      </w:r>
      <w:r w:rsidRPr="00243159">
        <w:rPr>
          <w:rFonts w:ascii="Arial" w:hAnsi="Arial" w:cs="Arial"/>
          <w:sz w:val="20"/>
          <w:szCs w:val="20"/>
          <w:lang w:val="da-DK"/>
        </w:rPr>
        <w:t>udvalgte kommentarer og spørgsmål:</w:t>
      </w:r>
    </w:p>
    <w:p w:rsidR="00B57693" w:rsidRPr="00BD3BC1" w:rsidRDefault="00B57693" w:rsidP="00B57693">
      <w:pPr>
        <w:pStyle w:val="Listeafsnit"/>
        <w:numPr>
          <w:ilvl w:val="1"/>
          <w:numId w:val="5"/>
        </w:numPr>
        <w:spacing w:after="200" w:line="276" w:lineRule="auto"/>
        <w:rPr>
          <w:rFonts w:ascii="Arial" w:hAnsi="Arial" w:cs="Arial"/>
          <w:i/>
          <w:sz w:val="20"/>
          <w:szCs w:val="20"/>
          <w:lang w:val="da-DK"/>
        </w:rPr>
      </w:pPr>
      <w:r w:rsidRPr="003409D9">
        <w:rPr>
          <w:rFonts w:ascii="Arial" w:hAnsi="Arial" w:cs="Arial"/>
          <w:i/>
          <w:sz w:val="20"/>
          <w:szCs w:val="20"/>
          <w:lang w:val="da-DK"/>
        </w:rPr>
        <w:t>Til § 11 – Idet der henvises til begrebet ”overskudskapital”, skal vi spørge om, det skal forstås på samme vis som ”overført resultat”? Til sammenligning ses dette begreb ikke anvendt i danske forsikringsregnskaber for 2016. Der er talen om et såkaldt Solvens II begreb, som ikke findes i den nye solvensbekendtgøre, som bliver sat i kraft på Færøerne.</w:t>
      </w:r>
      <w:r>
        <w:rPr>
          <w:rFonts w:ascii="Arial" w:hAnsi="Arial" w:cs="Arial"/>
          <w:i/>
          <w:sz w:val="20"/>
          <w:szCs w:val="20"/>
          <w:lang w:val="da-DK"/>
        </w:rPr>
        <w:t xml:space="preserve"> </w:t>
      </w:r>
      <w:r w:rsidRPr="00BD3BC1">
        <w:rPr>
          <w:rFonts w:ascii="Arial" w:hAnsi="Arial" w:cs="Arial"/>
          <w:i/>
          <w:sz w:val="20"/>
          <w:szCs w:val="20"/>
          <w:lang w:val="da-DK"/>
        </w:rPr>
        <w:t>Under hensyn til ovenfornævnte, vil vi foreslå, at slette begrebet i denne bekendtgørelse og ”bekendtgørelse om opgørelse af basiskapital for forsikringsselskaber og forsikringsholdingvirksomheder”.</w:t>
      </w:r>
      <w:r w:rsidRPr="00BD3BC1">
        <w:rPr>
          <w:rFonts w:ascii="Arial" w:hAnsi="Arial" w:cs="Arial"/>
          <w:i/>
          <w:sz w:val="20"/>
          <w:szCs w:val="20"/>
          <w:lang w:val="da-DK"/>
        </w:rPr>
        <w:br/>
      </w:r>
      <w:r w:rsidRPr="00BD3BC1">
        <w:rPr>
          <w:rFonts w:ascii="Arial" w:hAnsi="Arial" w:cs="Arial"/>
          <w:sz w:val="20"/>
          <w:szCs w:val="20"/>
          <w:lang w:val="da-DK"/>
        </w:rPr>
        <w:t>Overskuds</w:t>
      </w:r>
      <w:r>
        <w:rPr>
          <w:rFonts w:ascii="Arial" w:hAnsi="Arial" w:cs="Arial"/>
          <w:sz w:val="20"/>
          <w:szCs w:val="20"/>
          <w:lang w:val="da-DK"/>
        </w:rPr>
        <w:t>kapital er ikke det samme som ”O</w:t>
      </w:r>
      <w:r w:rsidRPr="00BD3BC1">
        <w:rPr>
          <w:rFonts w:ascii="Arial" w:hAnsi="Arial" w:cs="Arial"/>
          <w:sz w:val="20"/>
          <w:szCs w:val="20"/>
          <w:lang w:val="da-DK"/>
        </w:rPr>
        <w:t>verført resultat”. Overskudskapital er defineret</w:t>
      </w:r>
      <w:r>
        <w:rPr>
          <w:rFonts w:ascii="Arial" w:hAnsi="Arial" w:cs="Arial"/>
          <w:sz w:val="20"/>
          <w:szCs w:val="20"/>
          <w:lang w:val="da-DK"/>
        </w:rPr>
        <w:t xml:space="preserve"> i basiskapitalbekendtgørelsen </w:t>
      </w:r>
      <w:r w:rsidRPr="00BD3BC1">
        <w:rPr>
          <w:rFonts w:ascii="Arial" w:hAnsi="Arial" w:cs="Arial"/>
          <w:sz w:val="20"/>
          <w:szCs w:val="20"/>
          <w:lang w:val="da-DK"/>
        </w:rPr>
        <w:t xml:space="preserve">§ </w:t>
      </w:r>
      <w:r>
        <w:rPr>
          <w:rFonts w:ascii="Arial" w:hAnsi="Arial" w:cs="Arial"/>
          <w:sz w:val="20"/>
          <w:szCs w:val="20"/>
          <w:lang w:val="da-DK"/>
        </w:rPr>
        <w:t>2, nr. 4: ”</w:t>
      </w:r>
      <w:r w:rsidRPr="00BD3BC1">
        <w:rPr>
          <w:rFonts w:ascii="Arial" w:hAnsi="Arial" w:cs="Arial"/>
          <w:sz w:val="20"/>
          <w:szCs w:val="20"/>
          <w:lang w:val="da-DK"/>
        </w:rPr>
        <w:t>Ved overskudskapital forstås den del af den akkumulerede fortjeneste, som ikke er afsat til udlodning til forsikringstagerne og de begunstigede, og dermed ikke anses for at være en forsikringsforpligtelse”. Særlige bonushensættelser (type B) anses som overskudskapital, jf. § 6, stk. 3 i basiskapital</w:t>
      </w:r>
      <w:r>
        <w:rPr>
          <w:rFonts w:ascii="Arial" w:hAnsi="Arial" w:cs="Arial"/>
          <w:sz w:val="20"/>
          <w:szCs w:val="20"/>
          <w:lang w:val="da-DK"/>
        </w:rPr>
        <w:t>-</w:t>
      </w:r>
      <w:r w:rsidRPr="00BD3BC1">
        <w:rPr>
          <w:rFonts w:ascii="Arial" w:hAnsi="Arial" w:cs="Arial"/>
          <w:sz w:val="20"/>
          <w:szCs w:val="20"/>
          <w:lang w:val="da-DK"/>
        </w:rPr>
        <w:t xml:space="preserve">bekendtgørelsen. </w:t>
      </w:r>
      <w:r>
        <w:rPr>
          <w:rFonts w:ascii="Arial" w:hAnsi="Arial" w:cs="Arial"/>
          <w:sz w:val="20"/>
          <w:szCs w:val="20"/>
          <w:lang w:val="da-DK"/>
        </w:rPr>
        <w:t>En række danske livsforsikringsselskaber og pensionskasser har s</w:t>
      </w:r>
      <w:r w:rsidRPr="00BD3BC1">
        <w:rPr>
          <w:rFonts w:ascii="Arial" w:hAnsi="Arial" w:cs="Arial"/>
          <w:sz w:val="20"/>
          <w:szCs w:val="20"/>
          <w:lang w:val="da-DK"/>
        </w:rPr>
        <w:t>ærlige bonushensættelser (type B)</w:t>
      </w:r>
      <w:r>
        <w:rPr>
          <w:rFonts w:ascii="Arial" w:hAnsi="Arial" w:cs="Arial"/>
          <w:sz w:val="20"/>
          <w:szCs w:val="20"/>
          <w:lang w:val="da-DK"/>
        </w:rPr>
        <w:t xml:space="preserve"> og anfører disse under ”Overskudkapital”, jf. årsrapporterne for 2016 og 2017. Overskudskapital ligger således mellem egenkapitalen og de forsikringsmæssige hensættelser. Af hensyn til at have et fælles grundlag for fremtidige fortolkninger og udvikling i regnskabspraksis fastholdes regnskabsposten. </w:t>
      </w:r>
      <w:r>
        <w:rPr>
          <w:rFonts w:ascii="Arial" w:hAnsi="Arial" w:cs="Arial"/>
          <w:sz w:val="20"/>
          <w:szCs w:val="20"/>
          <w:lang w:val="da-DK"/>
        </w:rPr>
        <w:br/>
      </w:r>
    </w:p>
    <w:p w:rsidR="00B57693" w:rsidRDefault="00B57693" w:rsidP="00B57693">
      <w:pPr>
        <w:pStyle w:val="Listeafsnit"/>
        <w:numPr>
          <w:ilvl w:val="1"/>
          <w:numId w:val="5"/>
        </w:numPr>
        <w:spacing w:after="200" w:line="276" w:lineRule="auto"/>
        <w:rPr>
          <w:rFonts w:ascii="Arial" w:hAnsi="Arial" w:cs="Arial"/>
          <w:i/>
          <w:sz w:val="20"/>
          <w:szCs w:val="20"/>
          <w:lang w:val="da-DK"/>
        </w:rPr>
      </w:pPr>
      <w:r w:rsidRPr="003409D9">
        <w:rPr>
          <w:rFonts w:ascii="Arial" w:hAnsi="Arial" w:cs="Arial"/>
          <w:i/>
          <w:sz w:val="20"/>
          <w:szCs w:val="20"/>
          <w:lang w:val="da-DK"/>
        </w:rPr>
        <w:t>Til § 21 a – Idet der henvises til det nye begreb ”risikomargen”, vil vi foreslå at der bliver udarbejdet en vejledning til, hvordan denne skal værdiansættes (anerkendt opgørelsesmetode).</w:t>
      </w:r>
      <w:r>
        <w:rPr>
          <w:rFonts w:ascii="Arial" w:hAnsi="Arial" w:cs="Arial"/>
          <w:i/>
          <w:sz w:val="20"/>
          <w:szCs w:val="20"/>
          <w:lang w:val="da-DK"/>
        </w:rPr>
        <w:br/>
      </w:r>
      <w:r w:rsidRPr="00E64915">
        <w:rPr>
          <w:rFonts w:ascii="Arial" w:hAnsi="Arial" w:cs="Arial"/>
          <w:sz w:val="20"/>
          <w:szCs w:val="20"/>
          <w:lang w:val="da-DK"/>
        </w:rPr>
        <w:t>På linje med den internationale udvikling</w:t>
      </w:r>
      <w:r>
        <w:rPr>
          <w:rFonts w:ascii="Arial" w:hAnsi="Arial" w:cs="Arial"/>
          <w:sz w:val="20"/>
          <w:szCs w:val="20"/>
          <w:lang w:val="da-DK"/>
        </w:rPr>
        <w:t xml:space="preserve">, har Forsikringstilsynet fundet det mest hensigtsmæssigt med en principbaseret definition af ”Risikomargen”, jf. bekendtgørelsens bilag 1, nr. 57. Uden at der er tale om en vejledning, kan tilsynet oplyse, at tilsynet er af den opfattelse, at de metoder til beregning af risikomargen, som kan anvendes efter Solvens II, falder inden for definitionen i bekendtgørelsens bilag 1, nr. 57. </w:t>
      </w:r>
      <w:r>
        <w:rPr>
          <w:rFonts w:ascii="Arial" w:hAnsi="Arial" w:cs="Arial"/>
          <w:i/>
          <w:sz w:val="20"/>
          <w:szCs w:val="20"/>
          <w:lang w:val="da-DK"/>
        </w:rPr>
        <w:t xml:space="preserve"> </w:t>
      </w:r>
      <w:r>
        <w:rPr>
          <w:rFonts w:ascii="Arial" w:hAnsi="Arial" w:cs="Arial"/>
          <w:i/>
          <w:sz w:val="20"/>
          <w:szCs w:val="20"/>
          <w:lang w:val="da-DK"/>
        </w:rPr>
        <w:br/>
      </w:r>
    </w:p>
    <w:p w:rsidR="00B57693" w:rsidRPr="00E64915" w:rsidRDefault="00B57693" w:rsidP="00B57693">
      <w:pPr>
        <w:pStyle w:val="Listeafsnit"/>
        <w:numPr>
          <w:ilvl w:val="1"/>
          <w:numId w:val="5"/>
        </w:numPr>
        <w:spacing w:after="200" w:line="276" w:lineRule="auto"/>
        <w:rPr>
          <w:rFonts w:ascii="Arial" w:hAnsi="Arial" w:cs="Arial"/>
          <w:i/>
          <w:sz w:val="20"/>
          <w:szCs w:val="20"/>
          <w:lang w:val="da-DK"/>
        </w:rPr>
      </w:pPr>
      <w:r>
        <w:rPr>
          <w:rFonts w:ascii="Arial" w:hAnsi="Arial" w:cs="Arial"/>
          <w:i/>
          <w:sz w:val="20"/>
          <w:szCs w:val="20"/>
          <w:lang w:val="da-DK"/>
        </w:rPr>
        <w:t>Til</w:t>
      </w:r>
      <w:r w:rsidRPr="00E64915">
        <w:rPr>
          <w:rFonts w:ascii="Arial" w:hAnsi="Arial" w:cs="Arial"/>
          <w:i/>
          <w:sz w:val="20"/>
          <w:szCs w:val="20"/>
          <w:lang w:val="da-DK"/>
        </w:rPr>
        <w:t xml:space="preserve"> </w:t>
      </w:r>
      <w:r>
        <w:rPr>
          <w:rFonts w:ascii="Arial" w:hAnsi="Arial" w:cs="Arial"/>
          <w:i/>
          <w:sz w:val="20"/>
          <w:szCs w:val="20"/>
          <w:lang w:val="da-DK"/>
        </w:rPr>
        <w:t xml:space="preserve">den tidligere </w:t>
      </w:r>
      <w:r w:rsidRPr="00E64915">
        <w:rPr>
          <w:rFonts w:ascii="Arial" w:hAnsi="Arial" w:cs="Arial"/>
          <w:i/>
          <w:sz w:val="20"/>
          <w:szCs w:val="20"/>
          <w:lang w:val="da-DK"/>
        </w:rPr>
        <w:t>§ 30</w:t>
      </w:r>
      <w:r>
        <w:rPr>
          <w:rFonts w:ascii="Arial" w:hAnsi="Arial" w:cs="Arial"/>
          <w:i/>
          <w:sz w:val="20"/>
          <w:szCs w:val="20"/>
          <w:lang w:val="da-DK"/>
        </w:rPr>
        <w:t xml:space="preserve"> -  Bestemmelsen</w:t>
      </w:r>
      <w:r w:rsidRPr="00E64915">
        <w:rPr>
          <w:rFonts w:ascii="Arial" w:hAnsi="Arial" w:cs="Arial"/>
          <w:i/>
          <w:sz w:val="20"/>
          <w:szCs w:val="20"/>
          <w:lang w:val="da-DK"/>
        </w:rPr>
        <w:t xml:space="preserve"> </w:t>
      </w:r>
      <w:r>
        <w:rPr>
          <w:rFonts w:ascii="Arial" w:hAnsi="Arial" w:cs="Arial"/>
          <w:i/>
          <w:sz w:val="20"/>
          <w:szCs w:val="20"/>
          <w:lang w:val="da-DK"/>
        </w:rPr>
        <w:t>(</w:t>
      </w:r>
      <w:r w:rsidRPr="00E64915">
        <w:rPr>
          <w:rFonts w:ascii="Arial" w:hAnsi="Arial" w:cs="Arial"/>
          <w:i/>
          <w:sz w:val="20"/>
          <w:szCs w:val="20"/>
          <w:lang w:val="da-DK"/>
        </w:rPr>
        <w:t>om</w:t>
      </w:r>
      <w:r>
        <w:rPr>
          <w:rFonts w:ascii="Arial" w:hAnsi="Arial" w:cs="Arial"/>
          <w:i/>
          <w:sz w:val="20"/>
          <w:szCs w:val="20"/>
          <w:lang w:val="da-DK"/>
        </w:rPr>
        <w:t xml:space="preserve"> bonus)</w:t>
      </w:r>
      <w:r w:rsidRPr="00E64915">
        <w:rPr>
          <w:rFonts w:ascii="Arial" w:hAnsi="Arial" w:cs="Arial"/>
          <w:i/>
          <w:sz w:val="20"/>
          <w:szCs w:val="20"/>
          <w:lang w:val="da-DK"/>
        </w:rPr>
        <w:t xml:space="preserve"> bliver streget, men der er ingen bemærkning om, hvordan udbetalt bonus så skal grupperes. Nogle selskaber udbetaler meget store beløb som bonus, derfor er en bemærkning om, hvordan bonus skal klassificeres i h.t. den nye bekendtgørelse, på sin plads.</w:t>
      </w:r>
      <w:r>
        <w:rPr>
          <w:rFonts w:ascii="Arial" w:hAnsi="Arial" w:cs="Arial"/>
          <w:i/>
          <w:sz w:val="20"/>
          <w:szCs w:val="20"/>
          <w:lang w:val="da-DK"/>
        </w:rPr>
        <w:br/>
      </w:r>
      <w:r>
        <w:rPr>
          <w:rFonts w:ascii="Arial" w:hAnsi="Arial" w:cs="Arial"/>
          <w:sz w:val="20"/>
          <w:szCs w:val="20"/>
          <w:lang w:val="da-DK"/>
        </w:rPr>
        <w:t>D</w:t>
      </w:r>
      <w:r w:rsidRPr="005E2052">
        <w:rPr>
          <w:rFonts w:ascii="Arial" w:hAnsi="Arial" w:cs="Arial"/>
          <w:sz w:val="20"/>
          <w:szCs w:val="20"/>
          <w:lang w:val="da-DK"/>
        </w:rPr>
        <w:t>en tidligere § 30 omhandlede</w:t>
      </w:r>
      <w:r>
        <w:rPr>
          <w:rFonts w:ascii="Arial" w:hAnsi="Arial" w:cs="Arial"/>
          <w:sz w:val="20"/>
          <w:szCs w:val="20"/>
          <w:lang w:val="da-DK"/>
        </w:rPr>
        <w:t xml:space="preserve"> visning</w:t>
      </w:r>
      <w:r w:rsidRPr="005E2052">
        <w:rPr>
          <w:rFonts w:ascii="Arial" w:hAnsi="Arial" w:cs="Arial"/>
          <w:sz w:val="20"/>
          <w:szCs w:val="20"/>
          <w:lang w:val="da-DK"/>
        </w:rPr>
        <w:t xml:space="preserve"> af </w:t>
      </w:r>
      <w:r>
        <w:rPr>
          <w:rFonts w:ascii="Arial" w:hAnsi="Arial" w:cs="Arial"/>
          <w:sz w:val="20"/>
          <w:szCs w:val="20"/>
          <w:lang w:val="da-DK"/>
        </w:rPr>
        <w:t>”</w:t>
      </w:r>
      <w:r w:rsidRPr="005E2052">
        <w:rPr>
          <w:rFonts w:ascii="Arial" w:hAnsi="Arial" w:cs="Arial"/>
          <w:sz w:val="20"/>
          <w:szCs w:val="20"/>
          <w:lang w:val="da-DK"/>
        </w:rPr>
        <w:t>årets tilskrevne bonus</w:t>
      </w:r>
      <w:r>
        <w:rPr>
          <w:rFonts w:ascii="Arial" w:hAnsi="Arial" w:cs="Arial"/>
          <w:sz w:val="20"/>
          <w:szCs w:val="20"/>
          <w:lang w:val="da-DK"/>
        </w:rPr>
        <w:t>” i resultatopgørelsen for livsforsikringsselskaber og pensionskasser. Å</w:t>
      </w:r>
      <w:r w:rsidRPr="005E2052">
        <w:rPr>
          <w:rFonts w:ascii="Arial" w:hAnsi="Arial" w:cs="Arial"/>
          <w:sz w:val="20"/>
          <w:szCs w:val="20"/>
          <w:lang w:val="da-DK"/>
        </w:rPr>
        <w:t>rets tilskrevne bonus</w:t>
      </w:r>
      <w:r>
        <w:rPr>
          <w:rFonts w:ascii="Arial" w:hAnsi="Arial" w:cs="Arial"/>
          <w:sz w:val="20"/>
          <w:szCs w:val="20"/>
          <w:lang w:val="da-DK"/>
        </w:rPr>
        <w:t xml:space="preserve"> skulle vises i en særskilt resultatpost (den tidligere underpost 7.1). Å</w:t>
      </w:r>
      <w:r w:rsidRPr="005E2052">
        <w:rPr>
          <w:rFonts w:ascii="Arial" w:hAnsi="Arial" w:cs="Arial"/>
          <w:sz w:val="20"/>
          <w:szCs w:val="20"/>
          <w:lang w:val="da-DK"/>
        </w:rPr>
        <w:t>rets tilskrevne bonus</w:t>
      </w:r>
      <w:r>
        <w:rPr>
          <w:rFonts w:ascii="Arial" w:hAnsi="Arial" w:cs="Arial"/>
          <w:sz w:val="20"/>
          <w:szCs w:val="20"/>
          <w:lang w:val="da-DK"/>
        </w:rPr>
        <w:t xml:space="preserve"> skulle derfor trækkes ud af ”Ændring i livsforsikringshensættelser” (tidligere underpost 6.1, nu underpost 5.1). Fremover skal </w:t>
      </w:r>
      <w:r w:rsidRPr="005E2052">
        <w:rPr>
          <w:rFonts w:ascii="Arial" w:hAnsi="Arial" w:cs="Arial"/>
          <w:sz w:val="20"/>
          <w:szCs w:val="20"/>
          <w:lang w:val="da-DK"/>
        </w:rPr>
        <w:t>årets tilskrevne bonus</w:t>
      </w:r>
      <w:r>
        <w:rPr>
          <w:rFonts w:ascii="Arial" w:hAnsi="Arial" w:cs="Arial"/>
          <w:sz w:val="20"/>
          <w:szCs w:val="20"/>
          <w:lang w:val="da-DK"/>
        </w:rPr>
        <w:t xml:space="preserve"> ikke trækkes ud af ”Ændring i livsforsikringshensættelser”. Årets udbetalte bonus skal som hidtil indgå i </w:t>
      </w:r>
      <w:r w:rsidRPr="000F2F09">
        <w:rPr>
          <w:rFonts w:ascii="Arial" w:hAnsi="Arial" w:cs="Arial"/>
          <w:sz w:val="20"/>
          <w:szCs w:val="20"/>
          <w:lang w:val="da-DK"/>
        </w:rPr>
        <w:t>underpost</w:t>
      </w:r>
      <w:r>
        <w:rPr>
          <w:rFonts w:ascii="Arial" w:hAnsi="Arial" w:cs="Arial"/>
          <w:sz w:val="20"/>
          <w:szCs w:val="20"/>
          <w:lang w:val="da-DK"/>
        </w:rPr>
        <w:t>en ”</w:t>
      </w:r>
      <w:r w:rsidRPr="000F2F09">
        <w:rPr>
          <w:rFonts w:ascii="Arial" w:hAnsi="Arial" w:cs="Arial"/>
          <w:sz w:val="20"/>
          <w:szCs w:val="20"/>
          <w:lang w:val="da-DK"/>
        </w:rPr>
        <w:t>Udbetalte ydelser</w:t>
      </w:r>
      <w:r>
        <w:rPr>
          <w:rFonts w:ascii="Arial" w:hAnsi="Arial" w:cs="Arial"/>
          <w:sz w:val="20"/>
          <w:szCs w:val="20"/>
          <w:lang w:val="da-DK"/>
        </w:rPr>
        <w:t>” (tidligere 5.1 nu 4.1). Hvis der er tale om kontant udbetalt bonus skal de fortsat vises i noten vedr. ”</w:t>
      </w:r>
      <w:r w:rsidRPr="000F2F09">
        <w:rPr>
          <w:rFonts w:ascii="Arial" w:hAnsi="Arial" w:cs="Arial"/>
          <w:sz w:val="20"/>
          <w:szCs w:val="20"/>
          <w:lang w:val="da-DK"/>
        </w:rPr>
        <w:t>Udbetalte ydelser</w:t>
      </w:r>
      <w:r>
        <w:rPr>
          <w:rFonts w:ascii="Arial" w:hAnsi="Arial" w:cs="Arial"/>
          <w:sz w:val="20"/>
          <w:szCs w:val="20"/>
          <w:lang w:val="da-DK"/>
        </w:rPr>
        <w:t xml:space="preserve">”, jf. § 28, stk. 1, nr. 7, som fortsat er gældende. </w:t>
      </w:r>
      <w:r>
        <w:rPr>
          <w:rFonts w:ascii="Arial" w:hAnsi="Arial" w:cs="Arial"/>
          <w:sz w:val="20"/>
          <w:szCs w:val="20"/>
          <w:lang w:val="da-DK"/>
        </w:rPr>
        <w:br/>
      </w:r>
    </w:p>
    <w:p w:rsidR="00B57693" w:rsidRPr="00173060" w:rsidRDefault="00B57693" w:rsidP="00B57693">
      <w:pPr>
        <w:pStyle w:val="Listeafsnit"/>
        <w:numPr>
          <w:ilvl w:val="1"/>
          <w:numId w:val="5"/>
        </w:numPr>
        <w:spacing w:after="200" w:line="276" w:lineRule="auto"/>
        <w:rPr>
          <w:rFonts w:ascii="Arial" w:hAnsi="Arial" w:cs="Arial"/>
          <w:sz w:val="20"/>
          <w:szCs w:val="20"/>
          <w:lang w:val="da-DK"/>
        </w:rPr>
      </w:pPr>
      <w:r w:rsidRPr="003409D9">
        <w:rPr>
          <w:rFonts w:ascii="Arial" w:hAnsi="Arial" w:cs="Arial"/>
          <w:i/>
          <w:sz w:val="20"/>
          <w:szCs w:val="20"/>
          <w:lang w:val="da-DK"/>
        </w:rPr>
        <w:lastRenderedPageBreak/>
        <w:t>Til § 35, stk. 4 og § 37, stk. 4 – Vi vil spørge, hvordan man finder frem til den del af risikomargen, som viser hensættelser til henholdsvis præmier (præmiehensættelser) og erstatninger (erstatningshensættelser).</w:t>
      </w:r>
      <w:r>
        <w:rPr>
          <w:rFonts w:ascii="Arial" w:hAnsi="Arial" w:cs="Arial"/>
          <w:i/>
          <w:sz w:val="20"/>
          <w:szCs w:val="20"/>
          <w:lang w:val="da-DK"/>
        </w:rPr>
        <w:t xml:space="preserve"> </w:t>
      </w:r>
      <w:r>
        <w:rPr>
          <w:rFonts w:ascii="Arial" w:hAnsi="Arial" w:cs="Arial"/>
          <w:i/>
          <w:sz w:val="20"/>
          <w:szCs w:val="20"/>
          <w:lang w:val="da-DK"/>
        </w:rPr>
        <w:br/>
      </w:r>
      <w:r>
        <w:rPr>
          <w:rFonts w:ascii="Arial" w:hAnsi="Arial" w:cs="Arial"/>
          <w:sz w:val="20"/>
          <w:szCs w:val="20"/>
          <w:lang w:val="da-DK"/>
        </w:rPr>
        <w:t xml:space="preserve">Det kan der ikke siges noget entydig om, idet det er afhængigt af, hvilken konkret metode, der anvendes inden for den principbaserede definition i bekendtgørelsens bilag 1, nr. 57. Uden at der er tale om en vejledning, kan Forsikringstilsynet oplyse, at tilsynet er af den opfattelse, at de metoder til beregning af risikomargen, som kan anvendes efter Solvens II, falder inden for definitionen i bekendtgørelsens bilag 1, nr. 57. </w:t>
      </w:r>
      <w:r>
        <w:rPr>
          <w:rFonts w:ascii="Arial" w:hAnsi="Arial" w:cs="Arial"/>
          <w:sz w:val="20"/>
          <w:szCs w:val="20"/>
          <w:lang w:val="da-DK"/>
        </w:rPr>
        <w:br/>
      </w:r>
    </w:p>
    <w:p w:rsidR="00B57693" w:rsidRPr="003409D9" w:rsidRDefault="00B57693" w:rsidP="00B57693">
      <w:pPr>
        <w:pStyle w:val="Listeafsnit"/>
        <w:numPr>
          <w:ilvl w:val="1"/>
          <w:numId w:val="5"/>
        </w:numPr>
        <w:spacing w:after="200" w:line="276" w:lineRule="auto"/>
        <w:rPr>
          <w:rFonts w:ascii="Arial" w:hAnsi="Arial" w:cs="Arial"/>
          <w:i/>
          <w:sz w:val="20"/>
          <w:szCs w:val="20"/>
          <w:lang w:val="da-DK"/>
        </w:rPr>
      </w:pPr>
      <w:r w:rsidRPr="003409D9">
        <w:rPr>
          <w:rFonts w:ascii="Arial" w:hAnsi="Arial" w:cs="Arial"/>
          <w:i/>
          <w:sz w:val="20"/>
          <w:szCs w:val="20"/>
          <w:lang w:val="da-DK"/>
        </w:rPr>
        <w:t>Til § 65 b – Her er der kommet en ny bestemmelse om hensættelse til levetid, som skal reguleres i forhold til færøsk levealder. Har eller vil Forsikringstilsynet at udarbejde beregninger eller vejledninger til denne bestemmelse?</w:t>
      </w:r>
      <w:r>
        <w:rPr>
          <w:rFonts w:ascii="Arial" w:hAnsi="Arial" w:cs="Arial"/>
          <w:i/>
          <w:sz w:val="20"/>
          <w:szCs w:val="20"/>
          <w:lang w:val="da-DK"/>
        </w:rPr>
        <w:br/>
      </w:r>
      <w:r>
        <w:rPr>
          <w:rFonts w:ascii="Arial" w:hAnsi="Arial" w:cs="Arial"/>
          <w:sz w:val="20"/>
          <w:szCs w:val="20"/>
          <w:lang w:val="da-DK"/>
        </w:rPr>
        <w:t xml:space="preserve">Forsikringstilsynet har udsendt notat af 19. oktober 2016 om levetidsbenchmarks til brug for opgørelser af hensættelser for 2016 og 2017 og notat af 9. november 2017 om levetidsbenchmarks til brug for opgørelser af hensættelser for 2018. </w:t>
      </w:r>
      <w:r>
        <w:rPr>
          <w:rFonts w:ascii="Arial" w:hAnsi="Arial" w:cs="Arial"/>
          <w:sz w:val="20"/>
          <w:szCs w:val="20"/>
          <w:lang w:val="da-DK"/>
        </w:rPr>
        <w:br/>
      </w:r>
    </w:p>
    <w:p w:rsidR="00B57693" w:rsidRPr="0086582E" w:rsidRDefault="00B57693" w:rsidP="00B57693">
      <w:pPr>
        <w:pStyle w:val="Listeafsnit"/>
        <w:numPr>
          <w:ilvl w:val="1"/>
          <w:numId w:val="5"/>
        </w:numPr>
        <w:spacing w:after="200" w:line="276" w:lineRule="auto"/>
        <w:rPr>
          <w:rFonts w:ascii="Arial" w:hAnsi="Arial" w:cs="Arial"/>
          <w:i/>
          <w:sz w:val="20"/>
          <w:szCs w:val="20"/>
          <w:lang w:val="da-DK"/>
        </w:rPr>
      </w:pPr>
      <w:r w:rsidRPr="003409D9">
        <w:rPr>
          <w:rFonts w:ascii="Arial" w:hAnsi="Arial" w:cs="Arial"/>
          <w:i/>
          <w:sz w:val="20"/>
          <w:szCs w:val="20"/>
          <w:lang w:val="da-DK"/>
        </w:rPr>
        <w:t>Til § 65 b - Bestemmelsen læses som om at der skal anvendes det danske Finanstilsyns seneste offentliggjorte benchmark for levetidsforudsætninger justeret for niveauforskellen mellem befolkningsdødelighederne på Færøerne og Danmark.</w:t>
      </w:r>
      <w:r>
        <w:rPr>
          <w:rFonts w:ascii="Arial" w:hAnsi="Arial" w:cs="Arial"/>
          <w:i/>
          <w:sz w:val="20"/>
          <w:szCs w:val="20"/>
          <w:lang w:val="da-DK"/>
        </w:rPr>
        <w:t xml:space="preserve"> </w:t>
      </w:r>
      <w:r w:rsidRPr="004452F2">
        <w:rPr>
          <w:rFonts w:ascii="Arial" w:hAnsi="Arial" w:cs="Arial"/>
          <w:i/>
          <w:sz w:val="20"/>
          <w:szCs w:val="20"/>
          <w:lang w:val="da-DK"/>
        </w:rPr>
        <w:t>Under den analyse af dødeligheden, tilsynet gennemførte i samarbejde med de ansvarshavende aktuarer, blev konklusionen, at der ultimo et givent år skulle anvendes det benchmark, der er offentliggjort i efteråret det foregående år – altså 1 år gammelt benchmark. Dette blev besluttet af praktiske årsager. Tilsynet bedes bekræfte, at dette er stadig gældende</w:t>
      </w:r>
      <w:r w:rsidRPr="004452F2">
        <w:rPr>
          <w:rFonts w:ascii="Arial" w:hAnsi="Arial" w:cs="Arial"/>
          <w:sz w:val="20"/>
          <w:szCs w:val="20"/>
          <w:lang w:val="da-DK"/>
        </w:rPr>
        <w:t>.</w:t>
      </w:r>
      <w:r w:rsidRPr="004452F2">
        <w:rPr>
          <w:rFonts w:ascii="Arial" w:hAnsi="Arial" w:cs="Arial"/>
          <w:sz w:val="20"/>
          <w:szCs w:val="20"/>
          <w:lang w:val="da-DK"/>
        </w:rPr>
        <w:br/>
      </w:r>
      <w:r>
        <w:rPr>
          <w:rFonts w:ascii="Arial" w:hAnsi="Arial" w:cs="Arial"/>
          <w:sz w:val="20"/>
          <w:szCs w:val="20"/>
          <w:lang w:val="da-DK"/>
        </w:rPr>
        <w:t>Forsikringstils</w:t>
      </w:r>
      <w:r w:rsidRPr="004452F2">
        <w:rPr>
          <w:rFonts w:ascii="Arial" w:hAnsi="Arial" w:cs="Arial"/>
          <w:sz w:val="20"/>
          <w:szCs w:val="20"/>
          <w:lang w:val="da-DK"/>
        </w:rPr>
        <w:t>ynet kan bekræfte dette. Tilsynets notat af 9. november 2017 om levetidsbenchmarks til brug for opgørelser af hensættelser for 2018 er således baseret på statistikker offentliggjort frem til og med efteråret 2017 og baserer sig på oplysninger om levetider frem til og med 2016</w:t>
      </w:r>
      <w:r w:rsidRPr="0086582E">
        <w:rPr>
          <w:rFonts w:ascii="Arial" w:hAnsi="Arial" w:cs="Arial"/>
          <w:i/>
          <w:sz w:val="20"/>
          <w:szCs w:val="20"/>
          <w:lang w:val="da-DK"/>
        </w:rPr>
        <w:t>.</w:t>
      </w:r>
      <w:r>
        <w:rPr>
          <w:rFonts w:ascii="Arial" w:hAnsi="Arial" w:cs="Arial"/>
          <w:i/>
          <w:sz w:val="20"/>
          <w:szCs w:val="20"/>
          <w:lang w:val="da-DK"/>
        </w:rPr>
        <w:br/>
      </w:r>
    </w:p>
    <w:p w:rsidR="00B57693" w:rsidRPr="004452F2" w:rsidRDefault="00B57693" w:rsidP="00B57693">
      <w:pPr>
        <w:pStyle w:val="Listeafsnit"/>
        <w:numPr>
          <w:ilvl w:val="1"/>
          <w:numId w:val="5"/>
        </w:numPr>
        <w:spacing w:after="200" w:line="276" w:lineRule="auto"/>
        <w:rPr>
          <w:rFonts w:ascii="Arial" w:hAnsi="Arial" w:cs="Arial"/>
          <w:i/>
          <w:sz w:val="20"/>
          <w:szCs w:val="20"/>
          <w:lang w:val="da-DK"/>
        </w:rPr>
      </w:pPr>
      <w:r>
        <w:rPr>
          <w:rFonts w:ascii="Arial" w:hAnsi="Arial" w:cs="Arial"/>
          <w:i/>
          <w:sz w:val="20"/>
          <w:szCs w:val="20"/>
          <w:lang w:val="da-DK"/>
        </w:rPr>
        <w:t xml:space="preserve">Til § 147 - </w:t>
      </w:r>
      <w:r w:rsidRPr="003409D9">
        <w:rPr>
          <w:rFonts w:ascii="Arial" w:hAnsi="Arial" w:cs="Arial"/>
          <w:i/>
          <w:sz w:val="20"/>
          <w:szCs w:val="20"/>
          <w:lang w:val="da-DK"/>
        </w:rPr>
        <w:t>Der henvises til, at den nye bekendtgørelse stiller krav om tillæg til risikomargen. Dette har ikke være gjort i 2017 og ældre regnskaber, idet der ikke har været krav herom</w:t>
      </w:r>
      <w:r>
        <w:rPr>
          <w:rFonts w:ascii="Arial" w:hAnsi="Arial" w:cs="Arial"/>
          <w:i/>
          <w:sz w:val="20"/>
          <w:szCs w:val="20"/>
          <w:lang w:val="da-DK"/>
        </w:rPr>
        <w:t>.</w:t>
      </w:r>
      <w:r w:rsidRPr="003409D9">
        <w:rPr>
          <w:rFonts w:ascii="Arial" w:hAnsi="Arial" w:cs="Arial"/>
          <w:i/>
          <w:sz w:val="20"/>
          <w:szCs w:val="20"/>
          <w:lang w:val="da-DK"/>
        </w:rPr>
        <w:t xml:space="preserve"> Denne ændring vil muligvis medføre, at det bliver nødvendigt med ændringer i 5-års oversigten, som så videre kan medføre, at de enkelte selskaber vil få svært ved at efterleve dette. Muligvis kan det blive nødvendigt at overveje, at bibeholde undtagelsen i § 147, stk. 2 i den </w:t>
      </w:r>
      <w:r>
        <w:rPr>
          <w:rFonts w:ascii="Arial" w:hAnsi="Arial" w:cs="Arial"/>
          <w:i/>
          <w:sz w:val="20"/>
          <w:szCs w:val="20"/>
          <w:lang w:val="da-DK"/>
        </w:rPr>
        <w:t>gældend</w:t>
      </w:r>
      <w:r w:rsidRPr="003409D9">
        <w:rPr>
          <w:rFonts w:ascii="Arial" w:hAnsi="Arial" w:cs="Arial"/>
          <w:i/>
          <w:sz w:val="20"/>
          <w:szCs w:val="20"/>
          <w:lang w:val="da-DK"/>
        </w:rPr>
        <w:t>e bekendtgørelse</w:t>
      </w:r>
      <w:r w:rsidRPr="004452F2">
        <w:rPr>
          <w:rFonts w:ascii="Arial" w:hAnsi="Arial" w:cs="Arial"/>
          <w:sz w:val="20"/>
          <w:szCs w:val="20"/>
          <w:lang w:val="da-DK"/>
        </w:rPr>
        <w:t>.</w:t>
      </w:r>
      <w:r w:rsidRPr="004452F2">
        <w:rPr>
          <w:rFonts w:ascii="Arial" w:hAnsi="Arial" w:cs="Arial"/>
          <w:sz w:val="20"/>
          <w:szCs w:val="20"/>
          <w:lang w:val="da-DK"/>
        </w:rPr>
        <w:br/>
      </w:r>
      <w:r>
        <w:rPr>
          <w:rFonts w:ascii="Arial" w:hAnsi="Arial" w:cs="Arial"/>
          <w:sz w:val="20"/>
          <w:szCs w:val="20"/>
          <w:lang w:val="da-DK"/>
        </w:rPr>
        <w:t>Forsikringst</w:t>
      </w:r>
      <w:r w:rsidRPr="004452F2">
        <w:rPr>
          <w:rFonts w:ascii="Arial" w:hAnsi="Arial" w:cs="Arial"/>
          <w:sz w:val="20"/>
          <w:szCs w:val="20"/>
          <w:lang w:val="da-DK"/>
        </w:rPr>
        <w:t>ilsynet</w:t>
      </w:r>
      <w:r>
        <w:rPr>
          <w:rFonts w:ascii="Arial" w:hAnsi="Arial" w:cs="Arial"/>
          <w:sz w:val="20"/>
          <w:szCs w:val="20"/>
          <w:lang w:val="da-DK"/>
        </w:rPr>
        <w:t xml:space="preserve"> finder det ikke nødvendigt med en særskilt overgangsbestemmelse. For det første, har reglerne været kendt siden disse blev sendt i høring </w:t>
      </w:r>
      <w:r w:rsidRPr="00243159">
        <w:rPr>
          <w:rFonts w:ascii="Arial" w:hAnsi="Arial" w:cs="Arial"/>
          <w:sz w:val="20"/>
          <w:szCs w:val="20"/>
          <w:lang w:val="da-DK"/>
        </w:rPr>
        <w:t xml:space="preserve">den </w:t>
      </w:r>
      <w:r>
        <w:rPr>
          <w:rFonts w:ascii="Arial" w:hAnsi="Arial" w:cs="Arial"/>
          <w:sz w:val="20"/>
          <w:szCs w:val="20"/>
          <w:lang w:val="da-DK"/>
        </w:rPr>
        <w:t>19. juni</w:t>
      </w:r>
      <w:r w:rsidRPr="00243159">
        <w:rPr>
          <w:rFonts w:ascii="Arial" w:hAnsi="Arial" w:cs="Arial"/>
          <w:sz w:val="20"/>
          <w:szCs w:val="20"/>
          <w:lang w:val="da-DK"/>
        </w:rPr>
        <w:t xml:space="preserve"> 2017</w:t>
      </w:r>
      <w:r>
        <w:rPr>
          <w:rFonts w:ascii="Arial" w:hAnsi="Arial" w:cs="Arial"/>
          <w:sz w:val="20"/>
          <w:szCs w:val="20"/>
          <w:lang w:val="da-DK"/>
        </w:rPr>
        <w:t xml:space="preserve"> således at selskaberne har haft mulighed for at tilpasse sig disse, inden de træder i 1. januar 2019. For det andet følger det af bekendtgørelsens § 84, stk. 2, at kravene om tilpasning af f.eks. femårsoversigten ikke finder anvendelse i det omfang, det ikke er praktisk muligt. Manglende sammenlignelighed skal angives og behørigt begrundes, jf. bekendtgørelsen § 91 a, stk. 3. </w:t>
      </w:r>
      <w:r>
        <w:rPr>
          <w:rFonts w:ascii="Arial" w:hAnsi="Arial" w:cs="Arial"/>
          <w:sz w:val="20"/>
          <w:szCs w:val="20"/>
          <w:lang w:val="da-DK"/>
        </w:rPr>
        <w:br/>
      </w:r>
    </w:p>
    <w:p w:rsidR="00B57693" w:rsidRPr="003409D9" w:rsidRDefault="00B57693" w:rsidP="00B57693">
      <w:pPr>
        <w:pStyle w:val="Listeafsnit"/>
        <w:numPr>
          <w:ilvl w:val="1"/>
          <w:numId w:val="5"/>
        </w:numPr>
        <w:spacing w:after="200" w:line="276" w:lineRule="auto"/>
        <w:rPr>
          <w:rFonts w:ascii="Arial" w:hAnsi="Arial" w:cs="Arial"/>
          <w:sz w:val="20"/>
          <w:szCs w:val="20"/>
          <w:lang w:val="da-DK"/>
        </w:rPr>
      </w:pPr>
      <w:r w:rsidRPr="003409D9">
        <w:rPr>
          <w:rFonts w:ascii="Arial" w:hAnsi="Arial" w:cs="Arial"/>
          <w:i/>
          <w:sz w:val="20"/>
          <w:szCs w:val="20"/>
          <w:lang w:val="da-DK"/>
        </w:rPr>
        <w:t>Til</w:t>
      </w:r>
      <w:r>
        <w:rPr>
          <w:rFonts w:ascii="Arial" w:hAnsi="Arial" w:cs="Arial"/>
          <w:i/>
          <w:sz w:val="20"/>
          <w:szCs w:val="20"/>
          <w:lang w:val="da-DK"/>
        </w:rPr>
        <w:t xml:space="preserve"> ikræfttrædelsesbestemmelserne - </w:t>
      </w:r>
      <w:r w:rsidRPr="003409D9">
        <w:rPr>
          <w:rFonts w:ascii="Arial" w:hAnsi="Arial" w:cs="Arial"/>
          <w:i/>
          <w:sz w:val="20"/>
          <w:szCs w:val="20"/>
          <w:lang w:val="da-DK"/>
        </w:rPr>
        <w:t>Bekendtgørelsen finder anvendelse på regnskabsår, der begynder 1. januar 2018. Tilsynet bedes overveje om det kan tillades, at selskaberne kan tage dele af bekendtgørelsen i brug pr. 31.12.2017. Det tænkes især på visse af noterne</w:t>
      </w:r>
      <w:r>
        <w:rPr>
          <w:rFonts w:ascii="Arial" w:hAnsi="Arial" w:cs="Arial"/>
          <w:i/>
          <w:sz w:val="20"/>
          <w:szCs w:val="20"/>
          <w:lang w:val="da-DK"/>
        </w:rPr>
        <w:t xml:space="preserve">. </w:t>
      </w:r>
    </w:p>
    <w:p w:rsidR="00B57693" w:rsidRPr="00BB46A1" w:rsidRDefault="00B57693" w:rsidP="00B57693">
      <w:pPr>
        <w:pStyle w:val="Listeafsnit"/>
        <w:spacing w:after="200" w:line="276" w:lineRule="auto"/>
        <w:rPr>
          <w:rFonts w:ascii="Arial" w:hAnsi="Arial" w:cs="Arial"/>
          <w:sz w:val="20"/>
          <w:szCs w:val="20"/>
          <w:lang w:val="da-DK"/>
        </w:rPr>
      </w:pPr>
      <w:r>
        <w:rPr>
          <w:rFonts w:ascii="Arial" w:hAnsi="Arial" w:cs="Arial"/>
          <w:sz w:val="20"/>
          <w:szCs w:val="20"/>
          <w:lang w:val="da-DK"/>
        </w:rPr>
        <w:t xml:space="preserve">Bekendtgørelsens ikrafttrædelse er udskudt til 1. januar 2019. Forsikringstilsynet finder det ikke hensigtsmæssigt med en mulighed for hel eller delvis førtidsimplementering, da dette vil føre til usammenlignelige årsrapporter. Tilsynet henleder dog opmærksomheden på, at selskaberne </w:t>
      </w:r>
      <w:r>
        <w:rPr>
          <w:rFonts w:ascii="Arial" w:hAnsi="Arial" w:cs="Arial"/>
          <w:sz w:val="20"/>
          <w:szCs w:val="20"/>
          <w:lang w:val="da-DK"/>
        </w:rPr>
        <w:lastRenderedPageBreak/>
        <w:t xml:space="preserve">altid har mulighed for at komme med relevante supplerende oplysninger i årsrapportens ledelsesberetning eller noter.  </w:t>
      </w:r>
    </w:p>
    <w:p w:rsidR="00B57693" w:rsidRPr="00A7453C" w:rsidRDefault="00B57693" w:rsidP="00B57693">
      <w:pPr>
        <w:spacing w:after="200" w:line="276" w:lineRule="auto"/>
        <w:rPr>
          <w:rFonts w:ascii="Arial" w:hAnsi="Arial" w:cs="Arial"/>
          <w:sz w:val="20"/>
          <w:szCs w:val="20"/>
          <w:lang w:val="fo-FO"/>
        </w:rPr>
      </w:pPr>
    </w:p>
    <w:p w:rsidR="00313358" w:rsidRPr="00B57693" w:rsidRDefault="00B57693" w:rsidP="00B57693">
      <w:pPr>
        <w:spacing w:after="200" w:line="276" w:lineRule="auto"/>
        <w:rPr>
          <w:rFonts w:ascii="Arial" w:hAnsi="Arial" w:cs="Arial"/>
          <w:sz w:val="20"/>
          <w:szCs w:val="20"/>
          <w:lang w:val="fo-FO"/>
        </w:rPr>
      </w:pP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t>/</w:t>
      </w:r>
      <w:sdt>
        <w:sdtPr>
          <w:rPr>
            <w:rFonts w:ascii="Arial" w:hAnsi="Arial" w:cs="Arial"/>
            <w:sz w:val="20"/>
            <w:szCs w:val="20"/>
            <w:lang w:val="fo-FO"/>
          </w:rPr>
          <w:alias w:val="viðgeri"/>
          <w:tag w:val="OurRef.Name"/>
          <w:id w:val="10010"/>
          <w:placeholder>
            <w:docPart w:val="7C464BCDB7F64104B1066086EFB1D5D8"/>
          </w:placeholder>
          <w:dataBinding w:prefixMappings="xmlns:gbs='http://www.software-innovation.no/growBusinessDocument'" w:xpath="/gbs:GrowBusinessDocument/gbs:OurRef.Name[@gbs:key='10010']" w:storeItemID="{A71D5EB8-DD50-4B60-B751-C326F0704801}"/>
          <w:text/>
        </w:sdtPr>
        <w:sdtEndPr/>
        <w:sdtContent>
          <w:r>
            <w:rPr>
              <w:rFonts w:ascii="Arial" w:hAnsi="Arial" w:cs="Arial"/>
              <w:sz w:val="20"/>
              <w:szCs w:val="20"/>
              <w:lang w:val="fo-FO"/>
            </w:rPr>
            <w:t>Gudmundur Effersøe Nónstein</w:t>
          </w:r>
        </w:sdtContent>
      </w:sdt>
      <w:r>
        <w:rPr>
          <w:lang w:val="fo-FO"/>
        </w:rPr>
        <w:tab/>
      </w:r>
      <w:r>
        <w:rPr>
          <w:lang w:val="fo-FO"/>
        </w:rPr>
        <w:tab/>
      </w:r>
      <w:r>
        <w:rPr>
          <w:lang w:val="fo-FO"/>
        </w:rPr>
        <w:tab/>
      </w:r>
    </w:p>
    <w:sectPr w:rsidR="00313358" w:rsidRPr="00B57693" w:rsidSect="00313358">
      <w:headerReference w:type="default" r:id="rId9"/>
      <w:footerReference w:type="default" r:id="rId10"/>
      <w:headerReference w:type="first" r:id="rId11"/>
      <w:footerReference w:type="first" r:id="rId12"/>
      <w:pgSz w:w="11906" w:h="16838"/>
      <w:pgMar w:top="2552" w:right="1440" w:bottom="1440" w:left="1276" w:header="397"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5D" w:rsidRDefault="0011615D" w:rsidP="00CD195E">
      <w:r>
        <w:separator/>
      </w:r>
    </w:p>
  </w:endnote>
  <w:endnote w:type="continuationSeparator" w:id="0">
    <w:p w:rsidR="0011615D" w:rsidRDefault="0011615D"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49323"/>
      <w:docPartObj>
        <w:docPartGallery w:val="Page Numbers (Bottom of Page)"/>
        <w:docPartUnique/>
      </w:docPartObj>
    </w:sdtPr>
    <w:sdtEndPr/>
    <w:sdtContent>
      <w:sdt>
        <w:sdtPr>
          <w:id w:val="6796841"/>
          <w:docPartObj>
            <w:docPartGallery w:val="Page Numbers (Top of Page)"/>
            <w:docPartUnique/>
          </w:docPartObj>
        </w:sdtPr>
        <w:sdtEndPr/>
        <w:sdtContent>
          <w:p w:rsidR="00231497" w:rsidRPr="00313358" w:rsidRDefault="003630FE" w:rsidP="00313358">
            <w:pPr>
              <w:pStyle w:val="Sidefod"/>
              <w:jc w:val="center"/>
              <w:rPr>
                <w:b/>
                <w:color w:val="000000" w:themeColor="text1"/>
                <w:sz w:val="22"/>
              </w:rPr>
            </w:pPr>
            <w:r w:rsidRPr="00313358">
              <w:rPr>
                <w:rStyle w:val="AdressuUppl"/>
              </w:rPr>
              <w:fldChar w:fldCharType="begin"/>
            </w:r>
            <w:r w:rsidR="007B7C76" w:rsidRPr="00313358">
              <w:rPr>
                <w:rStyle w:val="AdressuUppl"/>
              </w:rPr>
              <w:instrText xml:space="preserve"> PAGE </w:instrText>
            </w:r>
            <w:r w:rsidRPr="00313358">
              <w:rPr>
                <w:rStyle w:val="AdressuUppl"/>
              </w:rPr>
              <w:fldChar w:fldCharType="separate"/>
            </w:r>
            <w:r w:rsidR="0051353F">
              <w:rPr>
                <w:rStyle w:val="AdressuUppl"/>
                <w:noProof/>
              </w:rPr>
              <w:t>2</w:t>
            </w:r>
            <w:r w:rsidRPr="00313358">
              <w:rPr>
                <w:rStyle w:val="AdressuUppl"/>
              </w:rPr>
              <w:fldChar w:fldCharType="end"/>
            </w:r>
            <w:r w:rsidR="007B7C76" w:rsidRPr="00313358">
              <w:rPr>
                <w:rStyle w:val="AdressuUppl"/>
              </w:rPr>
              <w:t>/</w:t>
            </w:r>
            <w:r w:rsidR="0051353F">
              <w:fldChar w:fldCharType="begin"/>
            </w:r>
            <w:r w:rsidR="0051353F">
              <w:instrText xml:space="preserve"> NUMPAGES  \* MERGEFORMAT </w:instrText>
            </w:r>
            <w:r w:rsidR="0051353F">
              <w:fldChar w:fldCharType="separate"/>
            </w:r>
            <w:r w:rsidR="0051353F" w:rsidRPr="0051353F">
              <w:rPr>
                <w:rStyle w:val="AdressuUppl"/>
                <w:noProof/>
              </w:rPr>
              <w:t>4</w:t>
            </w:r>
            <w:r w:rsidR="0051353F">
              <w:rPr>
                <w:rStyle w:val="AdressuUppl"/>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91" w:rsidRPr="00A7453C" w:rsidRDefault="002F025A" w:rsidP="00A7453C">
    <w:pPr>
      <w:pStyle w:val="Sidefod"/>
    </w:pPr>
    <w:r>
      <w:rPr>
        <w:noProof/>
        <w:lang w:val="da-DK" w:eastAsia="da-DK" w:bidi="ar-SA"/>
      </w:rPr>
      <w:drawing>
        <wp:inline distT="0" distB="0" distL="0" distR="0">
          <wp:extent cx="5835650" cy="971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35650" cy="971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5D" w:rsidRDefault="0011615D" w:rsidP="00CD195E">
      <w:r>
        <w:separator/>
      </w:r>
    </w:p>
  </w:footnote>
  <w:footnote w:type="continuationSeparator" w:id="0">
    <w:p w:rsidR="0011615D" w:rsidRDefault="0011615D" w:rsidP="00C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5A" w:rsidRDefault="0051353F">
    <w:pPr>
      <w:pStyle w:val="Sidehoved"/>
    </w:pPr>
    <w:r>
      <w:rPr>
        <w:noProof/>
        <w:lang w:eastAsia="zh-TW"/>
      </w:rPr>
      <w:pict>
        <v:shapetype id="_x0000_t202" coordsize="21600,21600" o:spt="202" path="m,l,21600r21600,l21600,xe">
          <v:stroke joinstyle="miter"/>
          <v:path gradientshapeok="t" o:connecttype="rect"/>
        </v:shapetype>
        <v:shape id="_x0000_s2050" type="#_x0000_t202" style="position:absolute;margin-left:-56.3pt;margin-top:-23.6pt;width:213.75pt;height:104.25pt;z-index:251664384;mso-width-relative:margin;mso-height-relative:margin" stroked="f">
          <v:textbox style="mso-next-textbox:#_x0000_s2050">
            <w:txbxContent>
              <w:p w:rsidR="000349E0" w:rsidRDefault="002F025A">
                <w:r>
                  <w:rPr>
                    <w:noProof/>
                    <w:lang w:val="da-DK" w:eastAsia="da-DK" w:bidi="ar-SA"/>
                  </w:rPr>
                  <w:drawing>
                    <wp:inline distT="0" distB="0" distL="0" distR="0">
                      <wp:extent cx="2531745" cy="1198520"/>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531745" cy="119852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97" w:rsidRPr="000944DA" w:rsidRDefault="0051353F" w:rsidP="00A47C91">
    <w:pPr>
      <w:pStyle w:val="Sidehoved"/>
      <w:tabs>
        <w:tab w:val="clear" w:pos="9026"/>
        <w:tab w:val="right" w:pos="9214"/>
      </w:tabs>
      <w:ind w:right="-188"/>
      <w:jc w:val="right"/>
      <w:rPr>
        <w:rFonts w:ascii="Arial Narrow" w:hAnsi="Arial Narrow"/>
      </w:rPr>
    </w:pPr>
    <w:r>
      <w:rPr>
        <w:noProof/>
        <w:lang w:val="fo-FO" w:eastAsia="zh-TW" w:bidi="ar-SA"/>
      </w:rPr>
      <w:pict>
        <v:shapetype id="_x0000_t202" coordsize="21600,21600" o:spt="202" path="m,l,21600r21600,l21600,xe">
          <v:stroke joinstyle="miter"/>
          <v:path gradientshapeok="t" o:connecttype="rect"/>
        </v:shapetype>
        <v:shape id="_x0000_s2049" type="#_x0000_t202" style="position:absolute;left:0;text-align:left;margin-left:293.2pt;margin-top:54.4pt;width:201pt;height:60.75pt;z-index:251662336;mso-width-relative:margin;mso-height-relative:margin" fillcolor="white [3201]" stroked="f" strokecolor="black [3200]" strokeweight="1pt">
          <v:stroke dashstyle="dash"/>
          <v:shadow color="#868686"/>
          <v:textbox>
            <w:txbxContent>
              <w:p w:rsidR="00A47C91" w:rsidRDefault="002F025A" w:rsidP="001D1AEE">
                <w:pPr>
                  <w:jc w:val="right"/>
                </w:pPr>
                <w:r>
                  <w:rPr>
                    <w:noProof/>
                    <w:lang w:val="da-DK" w:eastAsia="da-DK" w:bidi="ar-SA"/>
                  </w:rPr>
                  <w:drawing>
                    <wp:inline distT="0" distB="0" distL="0" distR="0">
                      <wp:extent cx="2369820" cy="6638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9820" cy="663886"/>
                              </a:xfrm>
                              <a:prstGeom prst="rect">
                                <a:avLst/>
                              </a:prstGeom>
                              <a:noFill/>
                              <a:ln w="9525">
                                <a:noFill/>
                                <a:miter lim="800000"/>
                                <a:headEnd/>
                                <a:tailEnd/>
                              </a:ln>
                            </pic:spPr>
                          </pic:pic>
                        </a:graphicData>
                      </a:graphic>
                    </wp:inline>
                  </w:drawing>
                </w:r>
              </w:p>
            </w:txbxContent>
          </v:textbox>
        </v:shape>
      </w:pict>
    </w:r>
    <w:r w:rsidR="00231497">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890"/>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E6783"/>
    <w:multiLevelType w:val="multilevel"/>
    <w:tmpl w:val="0406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F597962"/>
    <w:multiLevelType w:val="hybridMultilevel"/>
    <w:tmpl w:val="44F01120"/>
    <w:lvl w:ilvl="0" w:tplc="23CA7C20">
      <w:start w:val="1"/>
      <w:numFmt w:val="decimal"/>
      <w:lvlText w:val="%1."/>
      <w:lvlJc w:val="left"/>
      <w:pPr>
        <w:ind w:left="1211" w:hanging="360"/>
      </w:pPr>
      <w:rPr>
        <w:lang w:val="da-DK"/>
      </w:rPr>
    </w:lvl>
    <w:lvl w:ilvl="1" w:tplc="04380019" w:tentative="1">
      <w:start w:val="1"/>
      <w:numFmt w:val="lowerLetter"/>
      <w:lvlText w:val="%2."/>
      <w:lvlJc w:val="left"/>
      <w:pPr>
        <w:ind w:left="1931" w:hanging="360"/>
      </w:pPr>
    </w:lvl>
    <w:lvl w:ilvl="2" w:tplc="0438001B" w:tentative="1">
      <w:start w:val="1"/>
      <w:numFmt w:val="lowerRoman"/>
      <w:lvlText w:val="%3."/>
      <w:lvlJc w:val="right"/>
      <w:pPr>
        <w:ind w:left="2651" w:hanging="180"/>
      </w:pPr>
    </w:lvl>
    <w:lvl w:ilvl="3" w:tplc="0438000F" w:tentative="1">
      <w:start w:val="1"/>
      <w:numFmt w:val="decimal"/>
      <w:lvlText w:val="%4."/>
      <w:lvlJc w:val="left"/>
      <w:pPr>
        <w:ind w:left="3371" w:hanging="360"/>
      </w:pPr>
    </w:lvl>
    <w:lvl w:ilvl="4" w:tplc="04380019" w:tentative="1">
      <w:start w:val="1"/>
      <w:numFmt w:val="lowerLetter"/>
      <w:lvlText w:val="%5."/>
      <w:lvlJc w:val="left"/>
      <w:pPr>
        <w:ind w:left="4091" w:hanging="360"/>
      </w:pPr>
    </w:lvl>
    <w:lvl w:ilvl="5" w:tplc="0438001B" w:tentative="1">
      <w:start w:val="1"/>
      <w:numFmt w:val="lowerRoman"/>
      <w:lvlText w:val="%6."/>
      <w:lvlJc w:val="right"/>
      <w:pPr>
        <w:ind w:left="4811" w:hanging="180"/>
      </w:pPr>
    </w:lvl>
    <w:lvl w:ilvl="6" w:tplc="0438000F" w:tentative="1">
      <w:start w:val="1"/>
      <w:numFmt w:val="decimal"/>
      <w:lvlText w:val="%7."/>
      <w:lvlJc w:val="left"/>
      <w:pPr>
        <w:ind w:left="5531" w:hanging="360"/>
      </w:pPr>
    </w:lvl>
    <w:lvl w:ilvl="7" w:tplc="04380019" w:tentative="1">
      <w:start w:val="1"/>
      <w:numFmt w:val="lowerLetter"/>
      <w:lvlText w:val="%8."/>
      <w:lvlJc w:val="left"/>
      <w:pPr>
        <w:ind w:left="6251" w:hanging="360"/>
      </w:pPr>
    </w:lvl>
    <w:lvl w:ilvl="8" w:tplc="0438001B" w:tentative="1">
      <w:start w:val="1"/>
      <w:numFmt w:val="lowerRoman"/>
      <w:lvlText w:val="%9."/>
      <w:lvlJc w:val="right"/>
      <w:pPr>
        <w:ind w:left="6971" w:hanging="180"/>
      </w:pPr>
    </w:lvl>
  </w:abstractNum>
  <w:abstractNum w:abstractNumId="3" w15:restartNumberingAfterBreak="0">
    <w:nsid w:val="46F156D2"/>
    <w:multiLevelType w:val="hybridMultilevel"/>
    <w:tmpl w:val="E2B6F7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49DF4619"/>
    <w:multiLevelType w:val="hybridMultilevel"/>
    <w:tmpl w:val="510EE678"/>
    <w:lvl w:ilvl="0" w:tplc="382AFB3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B111555"/>
    <w:multiLevelType w:val="hybridMultilevel"/>
    <w:tmpl w:val="C67AC09A"/>
    <w:lvl w:ilvl="0" w:tplc="3070A9CE">
      <w:numFmt w:val="bullet"/>
      <w:lvlText w:val=""/>
      <w:lvlJc w:val="left"/>
      <w:pPr>
        <w:ind w:left="720" w:hanging="360"/>
      </w:pPr>
      <w:rPr>
        <w:rFonts w:ascii="Symbol" w:eastAsiaTheme="minorEastAsia" w:hAnsi="Symbol" w:cs="Aria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6" w15:restartNumberingAfterBreak="0">
    <w:nsid w:val="7F2E59B7"/>
    <w:multiLevelType w:val="multilevel"/>
    <w:tmpl w:val="B890EB28"/>
    <w:lvl w:ilvl="0">
      <w:start w:val="1"/>
      <w:numFmt w:val="decimal"/>
      <w:pStyle w:val="Overskrift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2"/>
  </w:num>
  <w:num w:numId="4">
    <w:abstractNumId w:val="2"/>
  </w:num>
  <w:num w:numId="5">
    <w:abstractNumId w:val="6"/>
  </w:num>
  <w:num w:numId="6">
    <w:abstractNumId w:val="4"/>
  </w:num>
  <w:num w:numId="7">
    <w:abstractNumId w:val="1"/>
  </w:num>
  <w:num w:numId="8">
    <w:abstractNumId w:val="0"/>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C495F"/>
    <w:rsid w:val="00005446"/>
    <w:rsid w:val="000349E0"/>
    <w:rsid w:val="00036745"/>
    <w:rsid w:val="00054DD8"/>
    <w:rsid w:val="000558B5"/>
    <w:rsid w:val="00063BA6"/>
    <w:rsid w:val="000B5EDE"/>
    <w:rsid w:val="000B6904"/>
    <w:rsid w:val="000C482A"/>
    <w:rsid w:val="000D2546"/>
    <w:rsid w:val="000E114C"/>
    <w:rsid w:val="00107382"/>
    <w:rsid w:val="00114786"/>
    <w:rsid w:val="0011615D"/>
    <w:rsid w:val="00126FD5"/>
    <w:rsid w:val="001349DE"/>
    <w:rsid w:val="00152946"/>
    <w:rsid w:val="00161F28"/>
    <w:rsid w:val="001661CA"/>
    <w:rsid w:val="00177A1A"/>
    <w:rsid w:val="0018268B"/>
    <w:rsid w:val="00183A05"/>
    <w:rsid w:val="001D1AEE"/>
    <w:rsid w:val="001D4BB8"/>
    <w:rsid w:val="001E2B05"/>
    <w:rsid w:val="001F2F85"/>
    <w:rsid w:val="00212B86"/>
    <w:rsid w:val="002161E7"/>
    <w:rsid w:val="00231497"/>
    <w:rsid w:val="00242D1D"/>
    <w:rsid w:val="0028669D"/>
    <w:rsid w:val="00287344"/>
    <w:rsid w:val="002A5B95"/>
    <w:rsid w:val="002C3D09"/>
    <w:rsid w:val="002C7E81"/>
    <w:rsid w:val="002E187E"/>
    <w:rsid w:val="002E31EE"/>
    <w:rsid w:val="002F025A"/>
    <w:rsid w:val="00313358"/>
    <w:rsid w:val="00317CEE"/>
    <w:rsid w:val="00333893"/>
    <w:rsid w:val="003338F6"/>
    <w:rsid w:val="003402BA"/>
    <w:rsid w:val="003409D9"/>
    <w:rsid w:val="00356E47"/>
    <w:rsid w:val="003630FE"/>
    <w:rsid w:val="00395148"/>
    <w:rsid w:val="003968B9"/>
    <w:rsid w:val="003C5AF1"/>
    <w:rsid w:val="003D2DA3"/>
    <w:rsid w:val="003E342E"/>
    <w:rsid w:val="0042552B"/>
    <w:rsid w:val="00445006"/>
    <w:rsid w:val="00464BF3"/>
    <w:rsid w:val="004653E3"/>
    <w:rsid w:val="0048217A"/>
    <w:rsid w:val="004A2C14"/>
    <w:rsid w:val="004D0819"/>
    <w:rsid w:val="004D3EC6"/>
    <w:rsid w:val="004E581B"/>
    <w:rsid w:val="004E6206"/>
    <w:rsid w:val="0051353F"/>
    <w:rsid w:val="00520C85"/>
    <w:rsid w:val="005234D1"/>
    <w:rsid w:val="00530444"/>
    <w:rsid w:val="00537E16"/>
    <w:rsid w:val="005615F6"/>
    <w:rsid w:val="005748A9"/>
    <w:rsid w:val="0057562D"/>
    <w:rsid w:val="005771A8"/>
    <w:rsid w:val="005774FA"/>
    <w:rsid w:val="005806FA"/>
    <w:rsid w:val="005809EF"/>
    <w:rsid w:val="005A6A46"/>
    <w:rsid w:val="005B7022"/>
    <w:rsid w:val="005C189F"/>
    <w:rsid w:val="005D450D"/>
    <w:rsid w:val="005E5B64"/>
    <w:rsid w:val="00612EEA"/>
    <w:rsid w:val="0065427E"/>
    <w:rsid w:val="00667950"/>
    <w:rsid w:val="0067692B"/>
    <w:rsid w:val="00692E17"/>
    <w:rsid w:val="00697705"/>
    <w:rsid w:val="006A47E4"/>
    <w:rsid w:val="006F4FC4"/>
    <w:rsid w:val="006F51BD"/>
    <w:rsid w:val="00701945"/>
    <w:rsid w:val="00720BC7"/>
    <w:rsid w:val="00750033"/>
    <w:rsid w:val="00755A41"/>
    <w:rsid w:val="00777A2C"/>
    <w:rsid w:val="007977EE"/>
    <w:rsid w:val="007B191B"/>
    <w:rsid w:val="007B3805"/>
    <w:rsid w:val="007B585F"/>
    <w:rsid w:val="007B7192"/>
    <w:rsid w:val="007B7C76"/>
    <w:rsid w:val="007C2356"/>
    <w:rsid w:val="007C28FC"/>
    <w:rsid w:val="007D5C40"/>
    <w:rsid w:val="007D6F21"/>
    <w:rsid w:val="007F0644"/>
    <w:rsid w:val="00815426"/>
    <w:rsid w:val="008576DF"/>
    <w:rsid w:val="0087300A"/>
    <w:rsid w:val="008853DB"/>
    <w:rsid w:val="008B714E"/>
    <w:rsid w:val="008C6DAF"/>
    <w:rsid w:val="00904663"/>
    <w:rsid w:val="00912B60"/>
    <w:rsid w:val="0092129F"/>
    <w:rsid w:val="00952531"/>
    <w:rsid w:val="00960378"/>
    <w:rsid w:val="00984497"/>
    <w:rsid w:val="009B13C8"/>
    <w:rsid w:val="009B5B60"/>
    <w:rsid w:val="009C71BB"/>
    <w:rsid w:val="009D76CC"/>
    <w:rsid w:val="00A2643D"/>
    <w:rsid w:val="00A33E61"/>
    <w:rsid w:val="00A42138"/>
    <w:rsid w:val="00A4218C"/>
    <w:rsid w:val="00A47C91"/>
    <w:rsid w:val="00A61F0B"/>
    <w:rsid w:val="00A7453C"/>
    <w:rsid w:val="00A876B4"/>
    <w:rsid w:val="00A91EE1"/>
    <w:rsid w:val="00A942C5"/>
    <w:rsid w:val="00AA1D1D"/>
    <w:rsid w:val="00AB43C2"/>
    <w:rsid w:val="00AB496B"/>
    <w:rsid w:val="00AC12F8"/>
    <w:rsid w:val="00AD20D9"/>
    <w:rsid w:val="00AD4B50"/>
    <w:rsid w:val="00AE3620"/>
    <w:rsid w:val="00AE3B0C"/>
    <w:rsid w:val="00B07262"/>
    <w:rsid w:val="00B15600"/>
    <w:rsid w:val="00B23D76"/>
    <w:rsid w:val="00B41E6D"/>
    <w:rsid w:val="00B51204"/>
    <w:rsid w:val="00B562AD"/>
    <w:rsid w:val="00B57693"/>
    <w:rsid w:val="00B704FD"/>
    <w:rsid w:val="00B75DC3"/>
    <w:rsid w:val="00B75EE4"/>
    <w:rsid w:val="00B8339E"/>
    <w:rsid w:val="00B949DC"/>
    <w:rsid w:val="00BA13F2"/>
    <w:rsid w:val="00BA6ADE"/>
    <w:rsid w:val="00BB645C"/>
    <w:rsid w:val="00BD1183"/>
    <w:rsid w:val="00BD2D32"/>
    <w:rsid w:val="00BD3DA9"/>
    <w:rsid w:val="00C06934"/>
    <w:rsid w:val="00C1714F"/>
    <w:rsid w:val="00C362DB"/>
    <w:rsid w:val="00C4013F"/>
    <w:rsid w:val="00C40D8A"/>
    <w:rsid w:val="00C673AB"/>
    <w:rsid w:val="00C81087"/>
    <w:rsid w:val="00CA0436"/>
    <w:rsid w:val="00CA4716"/>
    <w:rsid w:val="00CA6344"/>
    <w:rsid w:val="00CA6F54"/>
    <w:rsid w:val="00CB23C4"/>
    <w:rsid w:val="00CB2C7F"/>
    <w:rsid w:val="00CB49B1"/>
    <w:rsid w:val="00CB5A0C"/>
    <w:rsid w:val="00CD195E"/>
    <w:rsid w:val="00CD608F"/>
    <w:rsid w:val="00CE2A95"/>
    <w:rsid w:val="00D16449"/>
    <w:rsid w:val="00D246F4"/>
    <w:rsid w:val="00D31492"/>
    <w:rsid w:val="00D35801"/>
    <w:rsid w:val="00D42845"/>
    <w:rsid w:val="00D579D2"/>
    <w:rsid w:val="00D72C0C"/>
    <w:rsid w:val="00D75158"/>
    <w:rsid w:val="00D848EB"/>
    <w:rsid w:val="00DA1C4A"/>
    <w:rsid w:val="00DA20D7"/>
    <w:rsid w:val="00DC520B"/>
    <w:rsid w:val="00DC6069"/>
    <w:rsid w:val="00DE130C"/>
    <w:rsid w:val="00DE5DBD"/>
    <w:rsid w:val="00E013A1"/>
    <w:rsid w:val="00E10315"/>
    <w:rsid w:val="00E12AAA"/>
    <w:rsid w:val="00E2246D"/>
    <w:rsid w:val="00E32388"/>
    <w:rsid w:val="00E4039C"/>
    <w:rsid w:val="00E419B1"/>
    <w:rsid w:val="00E43194"/>
    <w:rsid w:val="00E55A03"/>
    <w:rsid w:val="00E81C74"/>
    <w:rsid w:val="00E86844"/>
    <w:rsid w:val="00EA44F4"/>
    <w:rsid w:val="00EC4796"/>
    <w:rsid w:val="00EC495F"/>
    <w:rsid w:val="00EC7936"/>
    <w:rsid w:val="00ED2AB3"/>
    <w:rsid w:val="00EE1FAB"/>
    <w:rsid w:val="00F068E0"/>
    <w:rsid w:val="00F53348"/>
    <w:rsid w:val="00F65F26"/>
    <w:rsid w:val="00F7309B"/>
    <w:rsid w:val="00F813F9"/>
    <w:rsid w:val="00F8253C"/>
    <w:rsid w:val="00FA1FCF"/>
    <w:rsid w:val="00FA6509"/>
    <w:rsid w:val="00FC5ADE"/>
    <w:rsid w:val="00FF410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AFCE12"/>
  <w15:docId w15:val="{E9EEA607-9CF9-429C-944A-962A0D2A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autoRedefine/>
    <w:uiPriority w:val="9"/>
    <w:qFormat/>
    <w:rsid w:val="00D579D2"/>
    <w:pPr>
      <w:keepNext/>
      <w:numPr>
        <w:numId w:val="5"/>
      </w:numPr>
      <w:spacing w:before="240" w:after="60"/>
      <w:outlineLvl w:val="0"/>
    </w:pPr>
    <w:rPr>
      <w:rFonts w:ascii="Arial" w:eastAsia="Times New Roman" w:hAnsi="Arial" w:cstheme="majorBidi"/>
      <w:b/>
      <w:bCs/>
      <w:kern w:val="32"/>
      <w:sz w:val="20"/>
      <w:szCs w:val="20"/>
      <w:lang w:val="fo-FO"/>
    </w:rPr>
  </w:style>
  <w:style w:type="paragraph" w:styleId="Overskrift2">
    <w:name w:val="heading 2"/>
    <w:basedOn w:val="Normal"/>
    <w:next w:val="Normal"/>
    <w:link w:val="Overskrift2Tegn"/>
    <w:autoRedefine/>
    <w:uiPriority w:val="9"/>
    <w:unhideWhenUsed/>
    <w:qFormat/>
    <w:rsid w:val="00D579D2"/>
    <w:pPr>
      <w:keepNext/>
      <w:spacing w:before="240" w:after="60"/>
      <w:outlineLvl w:val="1"/>
    </w:pPr>
    <w:rPr>
      <w:rFonts w:ascii="Arial" w:eastAsiaTheme="majorEastAsia" w:hAnsi="Arial"/>
      <w:b/>
      <w:bCs/>
      <w:i/>
      <w:iCs/>
      <w:sz w:val="20"/>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D579D2"/>
    <w:rPr>
      <w:rFonts w:ascii="Arial" w:eastAsia="Times New Roman" w:hAnsi="Arial" w:cstheme="majorBidi"/>
      <w:b/>
      <w:bCs/>
      <w:kern w:val="32"/>
      <w:sz w:val="20"/>
      <w:szCs w:val="20"/>
      <w:lang w:val="fo-FO"/>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nhideWhenUsed/>
    <w:rsid w:val="00CD195E"/>
    <w:pPr>
      <w:tabs>
        <w:tab w:val="center" w:pos="4513"/>
        <w:tab w:val="right" w:pos="9026"/>
      </w:tabs>
    </w:pPr>
  </w:style>
  <w:style w:type="character" w:customStyle="1" w:styleId="SidefodTegn">
    <w:name w:val="Sidefod Tegn"/>
    <w:basedOn w:val="Standardskrifttypeiafsnit"/>
    <w:link w:val="Sidefod"/>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rsid w:val="00D579D2"/>
    <w:rPr>
      <w:rFonts w:ascii="Arial" w:eastAsiaTheme="majorEastAsia" w:hAnsi="Arial"/>
      <w:b/>
      <w:bCs/>
      <w:i/>
      <w:iCs/>
      <w:sz w:val="20"/>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985">
      <w:bodyDiv w:val="1"/>
      <w:marLeft w:val="0"/>
      <w:marRight w:val="0"/>
      <w:marTop w:val="0"/>
      <w:marBottom w:val="0"/>
      <w:divBdr>
        <w:top w:val="none" w:sz="0" w:space="0" w:color="auto"/>
        <w:left w:val="none" w:sz="0" w:space="0" w:color="auto"/>
        <w:bottom w:val="none" w:sz="0" w:space="0" w:color="auto"/>
        <w:right w:val="none" w:sz="0" w:space="0" w:color="auto"/>
      </w:divBdr>
    </w:div>
    <w:div w:id="411435983">
      <w:bodyDiv w:val="1"/>
      <w:marLeft w:val="0"/>
      <w:marRight w:val="0"/>
      <w:marTop w:val="0"/>
      <w:marBottom w:val="0"/>
      <w:divBdr>
        <w:top w:val="none" w:sz="0" w:space="0" w:color="auto"/>
        <w:left w:val="none" w:sz="0" w:space="0" w:color="auto"/>
        <w:bottom w:val="none" w:sz="0" w:space="0" w:color="auto"/>
        <w:right w:val="none" w:sz="0" w:space="0" w:color="auto"/>
      </w:divBdr>
    </w:div>
    <w:div w:id="484778705">
      <w:bodyDiv w:val="1"/>
      <w:marLeft w:val="0"/>
      <w:marRight w:val="0"/>
      <w:marTop w:val="0"/>
      <w:marBottom w:val="0"/>
      <w:divBdr>
        <w:top w:val="none" w:sz="0" w:space="0" w:color="auto"/>
        <w:left w:val="none" w:sz="0" w:space="0" w:color="auto"/>
        <w:bottom w:val="none" w:sz="0" w:space="0" w:color="auto"/>
        <w:right w:val="none" w:sz="0" w:space="0" w:color="auto"/>
      </w:divBdr>
    </w:div>
    <w:div w:id="522211284">
      <w:bodyDiv w:val="1"/>
      <w:marLeft w:val="0"/>
      <w:marRight w:val="0"/>
      <w:marTop w:val="0"/>
      <w:marBottom w:val="0"/>
      <w:divBdr>
        <w:top w:val="none" w:sz="0" w:space="0" w:color="auto"/>
        <w:left w:val="none" w:sz="0" w:space="0" w:color="auto"/>
        <w:bottom w:val="none" w:sz="0" w:space="0" w:color="auto"/>
        <w:right w:val="none" w:sz="0" w:space="0" w:color="auto"/>
      </w:divBdr>
    </w:div>
    <w:div w:id="1391415664">
      <w:bodyDiv w:val="1"/>
      <w:marLeft w:val="0"/>
      <w:marRight w:val="0"/>
      <w:marTop w:val="0"/>
      <w:marBottom w:val="0"/>
      <w:divBdr>
        <w:top w:val="none" w:sz="0" w:space="0" w:color="auto"/>
        <w:left w:val="none" w:sz="0" w:space="0" w:color="auto"/>
        <w:bottom w:val="none" w:sz="0" w:space="0" w:color="auto"/>
        <w:right w:val="none" w:sz="0" w:space="0" w:color="auto"/>
      </w:divBdr>
    </w:div>
    <w:div w:id="1484271470">
      <w:bodyDiv w:val="1"/>
      <w:marLeft w:val="0"/>
      <w:marRight w:val="0"/>
      <w:marTop w:val="0"/>
      <w:marBottom w:val="0"/>
      <w:divBdr>
        <w:top w:val="none" w:sz="0" w:space="0" w:color="auto"/>
        <w:left w:val="none" w:sz="0" w:space="0" w:color="auto"/>
        <w:bottom w:val="none" w:sz="0" w:space="0" w:color="auto"/>
        <w:right w:val="none" w:sz="0" w:space="0" w:color="auto"/>
      </w:divBdr>
    </w:div>
    <w:div w:id="20592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k-vs-app.fak.far.local\docprod_VS\templates\TRskabelonFLUTT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90139B739449CA4AF4FAD9A1043D2"/>
        <w:category>
          <w:name w:val="General"/>
          <w:gallery w:val="placeholder"/>
        </w:category>
        <w:types>
          <w:type w:val="bbPlcHdr"/>
        </w:types>
        <w:behaviors>
          <w:behavior w:val="content"/>
        </w:behaviors>
        <w:guid w:val="{7CEC22BB-ACDF-4DDE-A778-54BE17C53827}"/>
      </w:docPartPr>
      <w:docPartBody>
        <w:p w:rsidR="008E4084" w:rsidRDefault="00805986">
          <w:pPr>
            <w:pStyle w:val="77690139B739449CA4AF4FAD9A1043D2"/>
          </w:pPr>
          <w:r w:rsidRPr="00BD3DA9">
            <w:rPr>
              <w:rStyle w:val="Pladsholdertekst"/>
              <w:b/>
              <w:color w:val="auto"/>
            </w:rPr>
            <w:t>Click here to enter text.</w:t>
          </w:r>
        </w:p>
      </w:docPartBody>
    </w:docPart>
    <w:docPart>
      <w:docPartPr>
        <w:name w:val="46CAC21E8D4046E1A8F1B052C953C969"/>
        <w:category>
          <w:name w:val="General"/>
          <w:gallery w:val="placeholder"/>
        </w:category>
        <w:types>
          <w:type w:val="bbPlcHdr"/>
        </w:types>
        <w:behaviors>
          <w:behavior w:val="content"/>
        </w:behaviors>
        <w:guid w:val="{C7FBD113-4DB3-4E40-99A9-92510AC1981E}"/>
      </w:docPartPr>
      <w:docPartBody>
        <w:p w:rsidR="008E4084" w:rsidRDefault="00805986">
          <w:pPr>
            <w:pStyle w:val="46CAC21E8D4046E1A8F1B052C953C969"/>
          </w:pPr>
          <w:r w:rsidRPr="00BD3DA9">
            <w:rPr>
              <w:rStyle w:val="Pladsholdertekst"/>
              <w:b/>
              <w:color w:val="auto"/>
            </w:rPr>
            <w:t>Click here to enter text.</w:t>
          </w:r>
        </w:p>
      </w:docPartBody>
    </w:docPart>
    <w:docPart>
      <w:docPartPr>
        <w:name w:val="11D8BE0485C441FE9CC60EDD3D7464FF"/>
        <w:category>
          <w:name w:val="General"/>
          <w:gallery w:val="placeholder"/>
        </w:category>
        <w:types>
          <w:type w:val="bbPlcHdr"/>
        </w:types>
        <w:behaviors>
          <w:behavior w:val="content"/>
        </w:behaviors>
        <w:guid w:val="{22BC5267-C825-4F98-B4D4-8BF328884075}"/>
      </w:docPartPr>
      <w:docPartBody>
        <w:p w:rsidR="008E4084" w:rsidRDefault="00805986">
          <w:pPr>
            <w:pStyle w:val="11D8BE0485C441FE9CC60EDD3D7464FF"/>
          </w:pPr>
          <w:r w:rsidRPr="00BD3DA9">
            <w:t>Click here to enter text.</w:t>
          </w:r>
        </w:p>
      </w:docPartBody>
    </w:docPart>
    <w:docPart>
      <w:docPartPr>
        <w:name w:val="12493FF6D97C46DEA87B18359E7E4C5D"/>
        <w:category>
          <w:name w:val="General"/>
          <w:gallery w:val="placeholder"/>
        </w:category>
        <w:types>
          <w:type w:val="bbPlcHdr"/>
        </w:types>
        <w:behaviors>
          <w:behavior w:val="content"/>
        </w:behaviors>
        <w:guid w:val="{B42FC548-69A6-4319-A068-7953D8D4A33C}"/>
      </w:docPartPr>
      <w:docPartBody>
        <w:p w:rsidR="008E4084" w:rsidRDefault="00805986">
          <w:pPr>
            <w:pStyle w:val="12493FF6D97C46DEA87B18359E7E4C5D"/>
          </w:pPr>
          <w:r w:rsidRPr="00040BF7">
            <w:rPr>
              <w:rStyle w:val="Pladsholdertekst"/>
            </w:rPr>
            <w:t>Click here to enter text.</w:t>
          </w:r>
        </w:p>
      </w:docPartBody>
    </w:docPart>
    <w:docPart>
      <w:docPartPr>
        <w:name w:val="F88EAF9D628840D59B5A5EE9AA34A449"/>
        <w:category>
          <w:name w:val="General"/>
          <w:gallery w:val="placeholder"/>
        </w:category>
        <w:types>
          <w:type w:val="bbPlcHdr"/>
        </w:types>
        <w:behaviors>
          <w:behavior w:val="content"/>
        </w:behaviors>
        <w:guid w:val="{9D457A37-B29D-4531-AE38-27920940DAF2}"/>
      </w:docPartPr>
      <w:docPartBody>
        <w:p w:rsidR="008E4084" w:rsidRDefault="00805986">
          <w:pPr>
            <w:pStyle w:val="F88EAF9D628840D59B5A5EE9AA34A449"/>
          </w:pPr>
          <w:r w:rsidRPr="00BD3DA9">
            <w:rPr>
              <w:rStyle w:val="Pladsholdertekst"/>
            </w:rPr>
            <w:t>Click here to enter a date.</w:t>
          </w:r>
        </w:p>
      </w:docPartBody>
    </w:docPart>
    <w:docPart>
      <w:docPartPr>
        <w:name w:val="B225AC233938406A9971EEC654B00C70"/>
        <w:category>
          <w:name w:val="General"/>
          <w:gallery w:val="placeholder"/>
        </w:category>
        <w:types>
          <w:type w:val="bbPlcHdr"/>
        </w:types>
        <w:behaviors>
          <w:behavior w:val="content"/>
        </w:behaviors>
        <w:guid w:val="{E4EBBC99-240B-49C5-9A6D-D1C859D6B802}"/>
      </w:docPartPr>
      <w:docPartBody>
        <w:p w:rsidR="008E4084" w:rsidRDefault="00805986">
          <w:pPr>
            <w:pStyle w:val="B225AC233938406A9971EEC654B00C70"/>
          </w:pPr>
          <w:r w:rsidRPr="005234D1">
            <w:rPr>
              <w:rStyle w:val="Pladsholdertekst"/>
              <w:color w:val="auto"/>
              <w:lang w:val="en-GB"/>
            </w:rPr>
            <w:t>Click here to enter text.</w:t>
          </w:r>
        </w:p>
      </w:docPartBody>
    </w:docPart>
    <w:docPart>
      <w:docPartPr>
        <w:name w:val="7C464BCDB7F64104B1066086EFB1D5D8"/>
        <w:category>
          <w:name w:val="Generelt"/>
          <w:gallery w:val="placeholder"/>
        </w:category>
        <w:types>
          <w:type w:val="bbPlcHdr"/>
        </w:types>
        <w:behaviors>
          <w:behavior w:val="content"/>
        </w:behaviors>
        <w:guid w:val="{1D892110-6126-4A23-9951-DCC37D26A08F}"/>
      </w:docPartPr>
      <w:docPartBody>
        <w:p w:rsidR="000B4DB4" w:rsidRDefault="00530852" w:rsidP="00530852">
          <w:pPr>
            <w:pStyle w:val="7C464BCDB7F64104B1066086EFB1D5D8"/>
          </w:pPr>
          <w:r w:rsidRPr="00BD3DA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05986"/>
    <w:rsid w:val="000B4DB4"/>
    <w:rsid w:val="00530852"/>
    <w:rsid w:val="00681D24"/>
    <w:rsid w:val="006A2BAA"/>
    <w:rsid w:val="00805986"/>
    <w:rsid w:val="00841541"/>
    <w:rsid w:val="008E4084"/>
    <w:rsid w:val="00C55601"/>
    <w:rsid w:val="00EA643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30852"/>
    <w:rPr>
      <w:color w:val="808080"/>
    </w:rPr>
  </w:style>
  <w:style w:type="paragraph" w:customStyle="1" w:styleId="77690139B739449CA4AF4FAD9A1043D2">
    <w:name w:val="77690139B739449CA4AF4FAD9A1043D2"/>
    <w:rsid w:val="008E4084"/>
  </w:style>
  <w:style w:type="paragraph" w:customStyle="1" w:styleId="46CAC21E8D4046E1A8F1B052C953C969">
    <w:name w:val="46CAC21E8D4046E1A8F1B052C953C969"/>
    <w:rsid w:val="008E4084"/>
  </w:style>
  <w:style w:type="paragraph" w:customStyle="1" w:styleId="11D8BE0485C441FE9CC60EDD3D7464FF">
    <w:name w:val="11D8BE0485C441FE9CC60EDD3D7464FF"/>
    <w:rsid w:val="008E4084"/>
  </w:style>
  <w:style w:type="paragraph" w:customStyle="1" w:styleId="12493FF6D97C46DEA87B18359E7E4C5D">
    <w:name w:val="12493FF6D97C46DEA87B18359E7E4C5D"/>
    <w:rsid w:val="008E4084"/>
  </w:style>
  <w:style w:type="paragraph" w:customStyle="1" w:styleId="F88EAF9D628840D59B5A5EE9AA34A449">
    <w:name w:val="F88EAF9D628840D59B5A5EE9AA34A449"/>
    <w:rsid w:val="008E4084"/>
  </w:style>
  <w:style w:type="paragraph" w:customStyle="1" w:styleId="B225AC233938406A9971EEC654B00C70">
    <w:name w:val="B225AC233938406A9971EEC654B00C70"/>
    <w:rsid w:val="008E4084"/>
  </w:style>
  <w:style w:type="paragraph" w:customStyle="1" w:styleId="B66121785D934616995708FDB71ED3BC">
    <w:name w:val="B66121785D934616995708FDB71ED3BC"/>
    <w:rsid w:val="008E4084"/>
  </w:style>
  <w:style w:type="paragraph" w:customStyle="1" w:styleId="7C464BCDB7F64104B1066086EFB1D5D8">
    <w:name w:val="7C464BCDB7F64104B1066086EFB1D5D8"/>
    <w:rsid w:val="00530852"/>
    <w:pPr>
      <w:spacing w:after="160" w:line="259" w:lineRule="auto"/>
    </w:pPr>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236241" gbs:entity="Document">
  <gbs:ToActivityContactJOINEX.Name gbs:loadFromGrowBusiness="OnEdit" gbs:entity="ActivityContact" gbs:recno="" gbs:saveInGrowBusiness="False" gbs:connected="true" gbs:key="10000" gbs:joinex="[JOINEX=[ToRole] {!OJEX!}=6]">
  </gbs:ToActivityContactJOINEX.Name>
  <gbs:ToActivityContactJOINEX.Address gbs:loadFromGrowBusiness="OnEdit" gbs:entity="ActivityContact" gbs:recno="" gbs:saveInGrowBusiness="False" gbs:connected="true" gbs:key="10001" gbs:joinex="[JOINEX=[ToRole] {!OJEX!}=6]">
  </gbs:ToActivityContactJOINEX.Address>
  <gbs:ToActivityContactJOINEX.Zip gbs:loadFromGrowBusiness="OnEdit" gbs:entity="ActivityContact" gbs:recno="" gbs:saveInGrowBusiness="False" gbs:connected="true" gbs:key="10002" gbs:joinex="[JOINEX=[ToRole] {!OJEX!}=6]">
  </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17/00106-16</gbs:DocumentNumber>
  <gbs:ToAuthorization gbs:loadFromGrowBusiness="OnEdit" gbs:entity="Document" gbs:recno="" gbs:saveInGrowBusiness="False" gbs:connected="true" gbs:key="10005">
  </gbs:ToAuthorization>
  <gbs:Title gbs:loadFromGrowBusiness="OnEdit" gbs:entity="Document" gbs:recno="" gbs:saveInGrowBusiness="True" gbs:connected="true" gbs:key="10006">Notat om efterfølgende ændringer i udkast til regnskabsbekendtgørelse</gbs:Title>
  <gbs:ToActivityContactJOINEX.Name gbs:loadFromGrowBusiness="OnEdit" gbs:entity="ActivityContact" gbs:recno="" gbs:saveInGrowBusiness="False" gbs:connected="true" gbs:key="10007" gbs:joinex="[JOINEX=[ToRole] {!OJEX!}=5]">Tryggingareftirlitið</gbs:ToActivityContactJOINEX.Name>
  <gbs:Lists>
    <gbs:SingleLines>
      <gbs:ToActivityContact gbs:name="Kopimottakere" gbs:row-separator="," gbs:field-separator="/" gbs:loadFromGrowBusiness="Always" gbs:saveInGrowBusiness="False" gbs:label="Kopi:">
        <gbs:DisplayField gbs:key="10008">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9">2018-05-14T00:00:00</gbs:DocumentDate>
  <gbs:OurRef.Name gbs:loadFromGrowBusiness="OnProduce" gbs:saveInGrowBusiness="False" gbs:connected="true" gbs:recno="" gbs:entity="" gbs:datatype="string" gbs:key="10010">Gudmundur Effersøe Nónstein</gbs:OurRef.Name>
  <gbs:ReferenceNo gbs:loadFromGrowBusiness="OnProduce" gbs:saveInGrowBusiness="False" gbs:connected="true" gbs:recno="" gbs:entity="" gbs:datatype="string" gbs:key="10011">
  </gbs:ReferenceNo>
  <gbs:Title gbs:loadFromGrowBusiness="OnProduce" gbs:saveInGrowBusiness="False" gbs:connected="true" gbs:recno="" gbs:entity="" gbs:datatype="string" gbs:key="10012">Notat om efterfølgende ændringer i udkast til regnskabsbekendtgørelse</gbs:Title>
  <gbs:ToActivityContact.ToAddress.Country.Description gbs:loadFromGrowBusiness="OnProduce" gbs:saveInGrowBusiness="False" gbs:connected="true" gbs:recno="" gbs:entity="" gbs:datatype="string" gbs:key="10013">
  </gbs:ToActivityContact.ToAddress.Country.Description>
  <gbs:Title gbs:loadFromGrowBusiness="OnProduce" gbs:saveInGrowBusiness="False" gbs:connected="true" gbs:recno="" gbs:entity="" gbs:datatype="string" gbs:key="10014">Notat om efterfølgende ændringer i udkast til regnskabsbekendtgørelse</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5EB8-DD50-4B60-B751-C326F0704801}">
  <ds:schemaRefs>
    <ds:schemaRef ds:uri="http://www.software-innovation.no/growBusinessDocument"/>
  </ds:schemaRefs>
</ds:datastoreItem>
</file>

<file path=customXml/itemProps2.xml><?xml version="1.0" encoding="utf-8"?>
<ds:datastoreItem xmlns:ds="http://schemas.openxmlformats.org/officeDocument/2006/customXml" ds:itemID="{094B7D89-017F-49D1-BF17-71A79C85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TRskabelonFLUTTN</Template>
  <TotalTime>3</TotalTime>
  <Pages>4</Pages>
  <Words>1384</Words>
  <Characters>8445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Gudmundur Effersøe Nónstein</dc:creator>
  <cp:lastModifiedBy>Gudmundur Nónstein</cp:lastModifiedBy>
  <cp:revision>4</cp:revision>
  <cp:lastPrinted>2010-02-09T13:49:00Z</cp:lastPrinted>
  <dcterms:created xsi:type="dcterms:W3CDTF">2018-05-14T12:51:00Z</dcterms:created>
  <dcterms:modified xsi:type="dcterms:W3CDTF">2018-05-14T12:54:00Z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\\fak-vs-app.fak.far.local\docprod_VS\templates\TRskabelonFLUTTN.dotx</vt:lpwstr>
  </property>
  <property fmtid="{D5CDD505-2E9C-101B-9397-08002B2CF9AE}" pid="3" name="filePathOneNote">
    <vt:lpwstr>\\fak-vs-app.fak.far.local\360users_VS\onenote\landsnet\ln44089\</vt:lpwstr>
  </property>
  <property fmtid="{D5CDD505-2E9C-101B-9397-08002B2CF9AE}" pid="4" name="comment">
    <vt:lpwstr>Notat om efterfølgende ændringer i udkast til regnskabsbekendtgørelse</vt:lpwstr>
  </property>
  <property fmtid="{D5CDD505-2E9C-101B-9397-08002B2CF9AE}" pid="5" name="docId">
    <vt:lpwstr>236241</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200009</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Gudmundur Effersøe Nónstein</vt:lpwstr>
  </property>
  <property fmtid="{D5CDD505-2E9C-101B-9397-08002B2CF9AE}" pid="14" name="modifiedBy">
    <vt:lpwstr>Gudmundur Effersøe Nónstein</vt:lpwstr>
  </property>
  <property fmtid="{D5CDD505-2E9C-101B-9397-08002B2CF9AE}" pid="15" name="action">
    <vt:lpwstr>edit</vt:lpwstr>
  </property>
  <property fmtid="{D5CDD505-2E9C-101B-9397-08002B2CF9AE}" pid="16" name="serverName">
    <vt:lpwstr>fak-vs-app.fak.far.local</vt:lpwstr>
  </property>
  <property fmtid="{D5CDD505-2E9C-101B-9397-08002B2CF9AE}" pid="17" name="externalUser">
    <vt:lpwstr>
    </vt:lpwstr>
  </property>
  <property fmtid="{D5CDD505-2E9C-101B-9397-08002B2CF9AE}" pid="18" name="currentVerId">
    <vt:lpwstr>236196</vt:lpwstr>
  </property>
  <property fmtid="{D5CDD505-2E9C-101B-9397-08002B2CF9AE}" pid="20" name="BackOfficeType">
    <vt:lpwstr>growBusiness Solutions</vt:lpwstr>
  </property>
  <property fmtid="{D5CDD505-2E9C-101B-9397-08002B2CF9AE}" pid="21" name="Server">
    <vt:lpwstr>fak-vs-app.fak.far.local</vt:lpwstr>
  </property>
  <property fmtid="{D5CDD505-2E9C-101B-9397-08002B2CF9AE}" pid="22" name="Protocol">
    <vt:lpwstr>off</vt:lpwstr>
  </property>
  <property fmtid="{D5CDD505-2E9C-101B-9397-08002B2CF9AE}" pid="23" name="Site">
    <vt:lpwstr>/locator.aspx</vt:lpwstr>
  </property>
  <property fmtid="{D5CDD505-2E9C-101B-9397-08002B2CF9AE}" pid="25" name="VerID">
    <vt:lpwstr>0</vt:lpwstr>
  </property>
  <property fmtid="{D5CDD505-2E9C-101B-9397-08002B2CF9AE}" pid="28" name="FullFileName">
    <vt:lpwstr>\\fak-vs-app.fak.far.local\360users_VS\work\landsnet\ln44089\17-00106-16 Notat om efterfølgende ændringer i udkast til regnskabsbekendtgørelse 276098_236196_0.DOCX</vt:lpwstr>
  </property>
  <property name="filePath" fmtid="{D5CDD505-2E9C-101B-9397-08002B2CF9AE}" pid="29">
    <vt:lpwstr>\\fak-vs-app.fak.far.local\360users_vs\cache\landsnet\ln44089\Upload\</vt:lpwstr>
  </property>
  <property name="fileName" fmtid="{D5CDD505-2E9C-101B-9397-08002B2CF9AE}" pid="30">
    <vt:lpwstr>35c05b6c-1ff6-4d3d-ba60-37a628d7515d.DOCX</vt:lpwstr>
  </property>
  <property name="fileId" fmtid="{D5CDD505-2E9C-101B-9397-08002B2CF9AE}" pid="31">
    <vt:lpwstr>276098</vt:lpwstr>
  </property>
  <property name="Operation" fmtid="{D5CDD505-2E9C-101B-9397-08002B2CF9AE}" pid="32">
    <vt:lpwstr>OpenFile</vt:lpwstr>
  </property>
</Properties>
</file>